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Регламент</w:t>
      </w:r>
    </w:p>
    <w:p w14:paraId="04000000">
      <w:pPr>
        <w:pStyle w:val="Style_4"/>
        <w:ind/>
        <w:jc w:val="center"/>
        <w:rPr>
          <w:b w:val="1"/>
        </w:rPr>
      </w:pPr>
      <w:r>
        <w:rPr>
          <w:b w:val="1"/>
        </w:rPr>
        <w:t xml:space="preserve">Чемпионат Энгельсского </w:t>
      </w:r>
    </w:p>
    <w:p w14:paraId="05000000">
      <w:pPr>
        <w:pStyle w:val="Style_4"/>
        <w:ind/>
        <w:jc w:val="center"/>
        <w:rPr>
          <w:b w:val="1"/>
        </w:rPr>
      </w:pPr>
      <w:r>
        <w:rPr>
          <w:b w:val="1"/>
        </w:rPr>
        <w:t>муниципального района</w:t>
      </w:r>
      <w:r>
        <w:t xml:space="preserve"> </w:t>
      </w:r>
      <w:r>
        <w:rPr>
          <w:b w:val="1"/>
        </w:rPr>
        <w:t>в дисциплине:</w:t>
      </w: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092  019  1811Л – ловля спиннингом с лодок – парные соревнования</w:t>
      </w:r>
    </w:p>
    <w:p w14:paraId="07000000">
      <w:pPr>
        <w:ind w:firstLine="567" w:left="0"/>
        <w:jc w:val="center"/>
        <w:rPr>
          <w:b w:val="1"/>
          <w:color w:val="000000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(мужчины-женщины)</w:t>
      </w:r>
    </w:p>
    <w:p w14:paraId="08000000">
      <w:pPr>
        <w:ind w:firstLine="567" w:left="0"/>
        <w:jc w:val="center"/>
        <w:rPr>
          <w:b w:val="1"/>
          <w:sz w:val="28"/>
        </w:rPr>
      </w:pPr>
    </w:p>
    <w:p w14:paraId="09000000">
      <w:pPr>
        <w:ind w:firstLine="360" w:left="0"/>
        <w:jc w:val="both"/>
        <w:rPr>
          <w:sz w:val="24"/>
        </w:rPr>
      </w:pPr>
      <w:r>
        <w:rPr>
          <w:color w:val="00000A"/>
          <w:sz w:val="24"/>
          <w:highlight w:val="white"/>
        </w:rPr>
        <w:t>В соответствии с положением о региональных официальных спортивных соревнованиях по рыболовному спорту на 202</w:t>
      </w:r>
      <w:r>
        <w:rPr>
          <w:color w:val="00000A"/>
          <w:sz w:val="24"/>
          <w:highlight w:val="white"/>
        </w:rPr>
        <w:t>5</w:t>
      </w:r>
      <w:r>
        <w:rPr>
          <w:color w:val="00000A"/>
          <w:sz w:val="24"/>
          <w:highlight w:val="white"/>
        </w:rPr>
        <w:t xml:space="preserve"> год </w:t>
      </w:r>
      <w:r>
        <w:rPr>
          <w:sz w:val="24"/>
        </w:rPr>
        <w:t xml:space="preserve">на Волгоградском водохранилище проводится </w:t>
      </w:r>
      <w:r>
        <w:rPr>
          <w:sz w:val="24"/>
        </w:rPr>
        <w:t>Чемпионат</w:t>
      </w:r>
      <w:r>
        <w:rPr>
          <w:sz w:val="24"/>
        </w:rPr>
        <w:t xml:space="preserve"> Энгельского муниципального района</w:t>
      </w:r>
      <w:r>
        <w:rPr>
          <w:sz w:val="24"/>
        </w:rPr>
        <w:t xml:space="preserve"> по ловле спиннингом с лодок.</w:t>
      </w:r>
    </w:p>
    <w:p w14:paraId="0A000000">
      <w:pPr>
        <w:ind w:firstLine="720" w:left="0"/>
        <w:jc w:val="both"/>
        <w:rPr>
          <w:sz w:val="24"/>
        </w:rPr>
      </w:pPr>
      <w:r>
        <w:rPr>
          <w:sz w:val="24"/>
        </w:rPr>
        <w:t>Соревнование проводится в соответствии с:</w:t>
      </w:r>
    </w:p>
    <w:p w14:paraId="0B000000">
      <w:pPr>
        <w:ind w:firstLine="250" w:left="0"/>
        <w:jc w:val="both"/>
        <w:rPr>
          <w:sz w:val="24"/>
        </w:rPr>
      </w:pPr>
      <w:r>
        <w:rPr>
          <w:sz w:val="24"/>
        </w:rPr>
        <w:t xml:space="preserve">действующими правилами, </w:t>
      </w:r>
      <w:r>
        <w:rPr>
          <w:sz w:val="24"/>
        </w:rPr>
        <w:t>утверждённым</w:t>
      </w:r>
      <w:r>
        <w:rPr>
          <w:sz w:val="24"/>
        </w:rPr>
        <w:t xml:space="preserve"> приказом Минспорта России от 28 июля 2020 г. № 572 с изменениями, </w:t>
      </w:r>
      <w:r>
        <w:rPr>
          <w:sz w:val="24"/>
        </w:rPr>
        <w:t>внесённые</w:t>
      </w:r>
      <w:r>
        <w:rPr>
          <w:sz w:val="24"/>
        </w:rPr>
        <w:t xml:space="preserve"> приказом Министерством спорта РФ </w:t>
      </w:r>
      <w:r>
        <w:rPr>
          <w:sz w:val="24"/>
        </w:rPr>
        <w:t>от 18 апреля 2024 г. № 442</w:t>
      </w:r>
      <w:r>
        <w:rPr>
          <w:sz w:val="24"/>
        </w:rPr>
        <w:t xml:space="preserve">                                       </w:t>
      </w:r>
    </w:p>
    <w:p w14:paraId="0C000000">
      <w:pPr>
        <w:ind w:firstLine="250" w:left="0"/>
        <w:jc w:val="both"/>
        <w:rPr>
          <w:sz w:val="24"/>
        </w:rPr>
      </w:pPr>
    </w:p>
    <w:p w14:paraId="0D000000">
      <w:pPr>
        <w:ind w:firstLine="3300" w:left="0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b w:val="1"/>
          <w:sz w:val="24"/>
        </w:rPr>
        <w:t>Характеристика водоема</w:t>
      </w:r>
    </w:p>
    <w:p w14:paraId="0E000000">
      <w:pPr>
        <w:pStyle w:val="Style_5"/>
        <w:spacing w:after="120" w:before="120"/>
        <w:ind w:firstLine="540" w:left="0"/>
        <w:jc w:val="both"/>
      </w:pPr>
      <w:r>
        <w:t>Соревнования будут проводиться на Волгоградском водохранилище. Течение от среднего до полного отсутствия. Глубины до 18 метров.  Дно песчаное, песчано-илистое. Рельеф дна характеризуется большими перепадами глубин. Местами имеется водная растительность.</w:t>
      </w:r>
    </w:p>
    <w:p w14:paraId="0F000000">
      <w:pPr>
        <w:pStyle w:val="Style_5"/>
        <w:spacing w:after="120" w:before="120"/>
        <w:ind w:firstLine="540" w:left="0"/>
        <w:jc w:val="both"/>
      </w:pPr>
      <w:r>
        <w:drawing>
          <wp:inline>
            <wp:extent cx="4603750" cy="271907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603750" cy="27190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pStyle w:val="Style_5"/>
        <w:spacing w:after="120" w:before="120"/>
        <w:ind w:firstLine="540" w:left="0"/>
        <w:jc w:val="both"/>
      </w:pPr>
    </w:p>
    <w:p w14:paraId="11000000">
      <w:pPr>
        <w:pStyle w:val="Style_5"/>
        <w:spacing w:after="120" w:before="120"/>
        <w:ind w:firstLine="540" w:left="0"/>
        <w:jc w:val="both"/>
      </w:pPr>
    </w:p>
    <w:p w14:paraId="12000000">
      <w:pPr>
        <w:pStyle w:val="Style_5"/>
        <w:spacing w:after="120" w:before="120"/>
        <w:ind w:firstLine="540" w:left="0"/>
        <w:rPr>
          <w:b w:val="1"/>
        </w:rPr>
      </w:pPr>
      <w:r>
        <w:rPr>
          <w:b w:val="1"/>
        </w:rPr>
        <w:t xml:space="preserve">                                Место старта-финиша</w:t>
      </w:r>
      <w:r>
        <w:rPr>
          <w:b w:val="1"/>
        </w:rPr>
        <w:t>: бетонка «Доломитки»</w:t>
      </w:r>
    </w:p>
    <w:p w14:paraId="13000000">
      <w:pPr>
        <w:pStyle w:val="Style_5"/>
        <w:spacing w:after="120" w:before="120"/>
        <w:ind/>
        <w:jc w:val="both"/>
      </w:pPr>
    </w:p>
    <w:p w14:paraId="14000000">
      <w:pPr>
        <w:pStyle w:val="Style_5"/>
        <w:spacing w:after="120" w:before="120"/>
        <w:ind w:firstLine="540" w:left="0"/>
        <w:jc w:val="both"/>
        <w:rPr>
          <w:b w:val="1"/>
          <w:color w:val="00000A"/>
        </w:rPr>
      </w:pPr>
      <w:r>
        <w:rPr>
          <w:b w:val="1"/>
          <w:color w:val="00000A"/>
        </w:rPr>
        <w:t xml:space="preserve">Координаты: низ зоны </w:t>
      </w:r>
      <w:r>
        <w:rPr>
          <w:b w:val="1"/>
          <w:color w:val="00000A"/>
        </w:rPr>
        <w:t>мост</w:t>
      </w:r>
      <w:r>
        <w:rPr>
          <w:b w:val="1"/>
          <w:color w:val="00000A"/>
        </w:rPr>
        <w:t xml:space="preserve"> Саратов-Энгельс</w:t>
      </w:r>
    </w:p>
    <w:p w14:paraId="15000000">
      <w:pPr>
        <w:pStyle w:val="Style_5"/>
        <w:spacing w:after="120" w:before="120"/>
        <w:ind w:firstLine="540" w:left="0"/>
        <w:jc w:val="both"/>
        <w:rPr>
          <w:b w:val="1"/>
          <w:color w:val="00000A"/>
        </w:rPr>
      </w:pPr>
      <w:r>
        <w:rPr>
          <w:b w:val="1"/>
          <w:color w:val="00000A"/>
        </w:rPr>
        <w:t xml:space="preserve">Верх зоны   </w:t>
      </w:r>
      <w:r>
        <w:rPr>
          <w:b w:val="1"/>
          <w:color w:val="00000A"/>
        </w:rPr>
        <w:t>Пристанский</w:t>
      </w:r>
      <w:r>
        <w:rPr>
          <w:b w:val="1"/>
          <w:color w:val="00000A"/>
        </w:rPr>
        <w:t xml:space="preserve"> мост</w:t>
      </w:r>
    </w:p>
    <w:p w14:paraId="16000000">
      <w:pPr>
        <w:pStyle w:val="Style_5"/>
        <w:spacing w:after="120" w:before="120"/>
        <w:ind/>
        <w:jc w:val="both"/>
      </w:pPr>
    </w:p>
    <w:p w14:paraId="17000000">
      <w:pPr>
        <w:pStyle w:val="Style_5"/>
        <w:spacing w:after="120" w:before="120"/>
        <w:ind w:firstLine="540" w:left="0"/>
        <w:jc w:val="center"/>
      </w:pPr>
      <w:r>
        <w:rPr>
          <w:b w:val="1"/>
          <w:color w:val="00000A"/>
        </w:rPr>
        <w:t>Сведения об ихтиофауне водоёма</w:t>
      </w:r>
    </w:p>
    <w:p w14:paraId="18000000">
      <w:pPr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>К зачету принимаются 10 рыб следующих видов и размеров:</w:t>
      </w:r>
    </w:p>
    <w:p w14:paraId="19000000">
      <w:pPr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>Щука, Судак, Жерех- не менее 50 см;</w:t>
      </w:r>
    </w:p>
    <w:p w14:paraId="1A000000">
      <w:pPr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>голавль, язь – не менее 35 см;</w:t>
      </w:r>
    </w:p>
    <w:p w14:paraId="1B000000">
      <w:pPr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>окунь, берш 20 см</w:t>
      </w:r>
    </w:p>
    <w:p w14:paraId="1C000000">
      <w:pPr>
        <w:ind w:firstLine="708" w:left="0"/>
        <w:jc w:val="both"/>
        <w:rPr>
          <w:b w:val="1"/>
          <w:sz w:val="24"/>
        </w:rPr>
      </w:pPr>
      <w:r>
        <w:rPr>
          <w:sz w:val="24"/>
        </w:rPr>
        <w:t xml:space="preserve">Другие виды рыб к зачету не принимаются. </w:t>
      </w:r>
      <w:r>
        <w:rPr>
          <w:b w:val="1"/>
          <w:sz w:val="24"/>
        </w:rPr>
        <w:t>Размер рыб определяется в свежем виде путем измерения длины от вершины рыла (при закрытом рте) до конца хвостового плавника. (</w:t>
      </w:r>
      <w:r>
        <w:rPr>
          <w:b w:val="1"/>
          <w:sz w:val="28"/>
        </w:rPr>
        <w:t>вся длина рыбы</w:t>
      </w:r>
      <w:r>
        <w:rPr>
          <w:b w:val="1"/>
          <w:sz w:val="24"/>
        </w:rPr>
        <w:t xml:space="preserve"> )</w:t>
      </w:r>
    </w:p>
    <w:p w14:paraId="1D000000">
      <w:pPr>
        <w:ind w:firstLine="708" w:left="0"/>
        <w:jc w:val="both"/>
        <w:rPr>
          <w:b w:val="1"/>
          <w:sz w:val="24"/>
        </w:rPr>
      </w:pPr>
      <w:r>
        <w:rPr>
          <w:sz w:val="24"/>
        </w:rPr>
        <w:t>Добытые (выловленные) водные биоресурсы, имеющие длину меньше указанной, подлежат немедленному выпуску в естественную среду обитания с наименьшими повреждениями.</w:t>
      </w:r>
    </w:p>
    <w:p w14:paraId="1E000000">
      <w:pPr>
        <w:ind w:firstLine="627" w:left="0"/>
        <w:jc w:val="center"/>
        <w:rPr>
          <w:b w:val="1"/>
          <w:sz w:val="24"/>
        </w:rPr>
      </w:pPr>
    </w:p>
    <w:p w14:paraId="1F000000">
      <w:pPr>
        <w:ind w:firstLine="627" w:left="0"/>
        <w:jc w:val="center"/>
        <w:rPr>
          <w:b w:val="1"/>
          <w:sz w:val="24"/>
        </w:rPr>
      </w:pPr>
      <w:r>
        <w:rPr>
          <w:b w:val="1"/>
          <w:sz w:val="24"/>
        </w:rPr>
        <w:t>Порядок проведения соревнований</w:t>
      </w:r>
    </w:p>
    <w:p w14:paraId="20000000">
      <w:pPr>
        <w:ind w:firstLine="627" w:left="0"/>
        <w:jc w:val="center"/>
        <w:rPr>
          <w:b w:val="1"/>
          <w:i w:val="1"/>
          <w:sz w:val="24"/>
        </w:rPr>
      </w:pPr>
    </w:p>
    <w:p w14:paraId="21000000">
      <w:pPr>
        <w:spacing w:line="20" w:lineRule="atLeast"/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>Формат проведения спортивных соревнований в дисциплин</w:t>
      </w:r>
      <w:r>
        <w:rPr>
          <w:b w:val="1"/>
          <w:sz w:val="24"/>
        </w:rPr>
        <w:t>е</w:t>
      </w:r>
      <w:r>
        <w:rPr>
          <w:b w:val="1"/>
          <w:sz w:val="24"/>
        </w:rPr>
        <w:t xml:space="preserve">  «Ловля спиннингом с лодок – парные соревнования», предусматривает «фотофиксацию» выловленной рыбы с помощью личного телефона.,</w:t>
      </w:r>
    </w:p>
    <w:p w14:paraId="22000000">
      <w:pPr>
        <w:spacing w:line="20" w:lineRule="atLeast"/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>Длина рыбы вносится в протокол, дальше «видиофиксация» выпуска рыбы в естественную среду обитания с проговариванием порядкового номера рыбы «отпускается первая рыба, отпускается вторая рыба и.т.д.»</w:t>
      </w:r>
    </w:p>
    <w:p w14:paraId="23000000">
      <w:pPr>
        <w:spacing w:line="20" w:lineRule="atLeast"/>
        <w:ind w:firstLine="708" w:left="0"/>
        <w:jc w:val="both"/>
        <w:rPr>
          <w:sz w:val="24"/>
        </w:rPr>
      </w:pPr>
      <w:r>
        <w:rPr>
          <w:b w:val="1"/>
          <w:sz w:val="24"/>
        </w:rPr>
        <w:t>Подсчет результатов осуществляется посредством измерения спортсменами пойманных экземпляров в сантиметрах на линейке, предоставленной организатором, и пересчета длины в баллы посредством возведения в квадрат с последующим выпуском рыбы после измерения</w:t>
      </w:r>
      <w:r>
        <w:rPr>
          <w:sz w:val="24"/>
        </w:rPr>
        <w:t>.</w:t>
      </w:r>
    </w:p>
    <w:p w14:paraId="24000000">
      <w:pPr>
        <w:spacing w:line="20" w:lineRule="atLeast"/>
        <w:ind w:firstLine="708" w:left="0"/>
        <w:jc w:val="both"/>
        <w:rPr>
          <w:sz w:val="24"/>
        </w:rPr>
      </w:pPr>
    </w:p>
    <w:p w14:paraId="25000000">
      <w:pPr>
        <w:ind w:firstLine="708" w:left="0"/>
        <w:jc w:val="both"/>
        <w:rPr>
          <w:b w:val="1"/>
          <w:sz w:val="24"/>
        </w:rPr>
      </w:pPr>
    </w:p>
    <w:p w14:paraId="26000000">
      <w:pPr>
        <w:spacing w:line="20" w:lineRule="atLeast"/>
        <w:ind w:firstLine="708" w:left="0"/>
        <w:jc w:val="both"/>
        <w:rPr>
          <w:sz w:val="24"/>
        </w:rPr>
      </w:pPr>
      <w:r>
        <w:rPr>
          <w:sz w:val="24"/>
        </w:rPr>
        <w:t xml:space="preserve"> Алгоритм фотографирования рыбы следующий. </w:t>
      </w:r>
    </w:p>
    <w:p w14:paraId="27000000">
      <w:pPr>
        <w:spacing w:line="20" w:lineRule="atLeast"/>
        <w:ind w:firstLine="708" w:left="0"/>
        <w:jc w:val="both"/>
        <w:rPr>
          <w:sz w:val="24"/>
        </w:rPr>
      </w:pPr>
      <w:r>
        <w:rPr>
          <w:sz w:val="24"/>
        </w:rPr>
        <w:t>Упор измерительного прибора (линейки) должен находиться с левой стороны. Рыба располагается кончиком рыла, с открытым или закрытым (на усмотрение спортсменов) ртом к упору или нулевой отметке, лежа на правом боку, спинным плавником вверх. Контрольная метка (индивидуальный маркер) на измерительном приборе (линейке) должна быть отчетливо различима на предоставляемых к зачету фотографиях. Фото рыбы должно вмещать длину рыбы полностью с четко читаемыми показаниями измерительного прибора. Фото рыбы, выполненное с нарушениями данного алгоритма, к зачету не принимается. Пойманная рыба измеряется в сантиметрах (1см=1 балл) и результат заносится в протокол. При определении длины рыбы применяется математическое правило округления в меньшую или большую сторону. Округление в большую сторону не применяется при измерении рыбы, не достигшей минимального размера принимаемой к зачету (например: минимальный размер принимаемой к зачету рыбы 50см, рыба 49.9 см и менее не принимается к зачету, 54.4 см=54 балла, 54.5 см=55 баллов). К зачету принимается только одно фото от каждой рыбы. После фотографирования рыба подлежит обязательному возврату в водоем с мерами необходимой предосторожности.</w:t>
      </w:r>
    </w:p>
    <w:p w14:paraId="28000000">
      <w:pPr>
        <w:ind w:firstLine="708" w:left="0"/>
        <w:jc w:val="center"/>
        <w:rPr>
          <w:b w:val="1"/>
          <w:sz w:val="24"/>
        </w:rPr>
      </w:pPr>
      <w:r>
        <w:rPr>
          <w:b w:val="1"/>
          <w:sz w:val="24"/>
        </w:rPr>
        <w:t xml:space="preserve"> </w:t>
      </w:r>
    </w:p>
    <w:p w14:paraId="29000000">
      <w:pPr>
        <w:ind w:firstLine="360" w:left="0"/>
        <w:jc w:val="both"/>
        <w:rPr>
          <w:b w:val="1"/>
          <w:sz w:val="24"/>
        </w:rPr>
      </w:pPr>
    </w:p>
    <w:p w14:paraId="2A000000">
      <w:pPr>
        <w:spacing w:line="276" w:lineRule="auto"/>
        <w:ind/>
        <w:jc w:val="center"/>
        <w:rPr>
          <w:sz w:val="24"/>
        </w:rPr>
      </w:pPr>
      <w:r>
        <w:rPr>
          <w:b w:val="1"/>
          <w:color w:val="000000"/>
          <w:sz w:val="24"/>
        </w:rPr>
        <w:t>Требования к участникам соревнования и условия их допуска</w:t>
      </w:r>
    </w:p>
    <w:p w14:paraId="2B000000">
      <w:pPr>
        <w:ind w:firstLine="567" w:left="0"/>
        <w:rPr>
          <w:sz w:val="24"/>
        </w:rPr>
      </w:pPr>
      <w:r>
        <w:rPr>
          <w:sz w:val="24"/>
        </w:rPr>
        <w:t xml:space="preserve">   Представители спортсменов несут полную ответственность за подготовку и возможные последствия участия спортсменов в соревнованиях. </w:t>
      </w:r>
    </w:p>
    <w:p w14:paraId="2C000000">
      <w:pPr>
        <w:ind w:firstLine="567" w:left="0"/>
        <w:rPr>
          <w:sz w:val="24"/>
        </w:rPr>
      </w:pPr>
      <w:r>
        <w:rPr>
          <w:sz w:val="24"/>
        </w:rPr>
        <w:t xml:space="preserve">Участники соревнования, использующие маломерные судна, должны иметь </w:t>
      </w:r>
      <w:r>
        <w:rPr>
          <w:color w:val="000000"/>
          <w:sz w:val="24"/>
        </w:rPr>
        <w:t>все разрешительные и регистрационные документы на лодку и мотор.</w:t>
      </w:r>
      <w:r>
        <w:rPr>
          <w:sz w:val="24"/>
        </w:rPr>
        <w:t xml:space="preserve"> Маломерное судно должно быть укомплектовано в соответствии с нормами комплектации, указанными в судовом билете, в том числе и спасательными средствами (спасательный круг, спасательный жилет).</w:t>
      </w:r>
      <w:r>
        <w:rPr>
          <w:color w:val="000000"/>
          <w:sz w:val="24"/>
        </w:rPr>
        <w:t xml:space="preserve"> Разрешается использовать лодочные моторы мощностью не более 250 л.с. Передвижение разрешено со скоростью не более 80 км/ч</w:t>
      </w:r>
    </w:p>
    <w:p w14:paraId="2D000000">
      <w:pPr>
        <w:ind/>
        <w:jc w:val="both"/>
        <w:rPr>
          <w:rFonts w:ascii="Arial" w:hAnsi="Arial"/>
          <w:b w:val="1"/>
          <w:color w:val="000000"/>
          <w:sz w:val="24"/>
          <w:highlight w:val="white"/>
        </w:rPr>
      </w:pPr>
    </w:p>
    <w:p w14:paraId="2E000000">
      <w:pPr>
        <w:ind/>
        <w:jc w:val="both"/>
        <w:rPr>
          <w:sz w:val="24"/>
        </w:rPr>
      </w:pPr>
      <w:r>
        <w:rPr>
          <w:sz w:val="24"/>
        </w:rPr>
        <w:t xml:space="preserve">     </w:t>
      </w:r>
    </w:p>
    <w:p w14:paraId="2F000000">
      <w:pPr>
        <w:ind w:firstLine="709" w:left="0"/>
        <w:jc w:val="both"/>
        <w:rPr>
          <w:b w:val="1"/>
          <w:i w:val="1"/>
          <w:color w:val="000000"/>
          <w:sz w:val="24"/>
          <w:highlight w:val="white"/>
        </w:rPr>
      </w:pPr>
      <w:r>
        <w:rPr>
          <w:b w:val="1"/>
          <w:i w:val="1"/>
          <w:color w:val="000000"/>
          <w:sz w:val="24"/>
        </w:rPr>
        <w:t>У</w:t>
      </w:r>
      <w:r>
        <w:rPr>
          <w:b w:val="1"/>
          <w:i w:val="1"/>
          <w:color w:val="000000"/>
          <w:sz w:val="24"/>
          <w:highlight w:val="white"/>
        </w:rPr>
        <w:t>потребление алкоголесодержащих напитков, в период проведения соревнования запрещено.</w:t>
      </w:r>
    </w:p>
    <w:p w14:paraId="30000000">
      <w:pPr>
        <w:ind/>
        <w:jc w:val="both"/>
        <w:rPr>
          <w:sz w:val="24"/>
        </w:rPr>
      </w:pPr>
      <w:r>
        <w:rPr>
          <w:b w:val="1"/>
          <w:i w:val="1"/>
          <w:color w:val="000000"/>
          <w:sz w:val="24"/>
          <w:highlight w:val="white"/>
        </w:rPr>
        <w:t xml:space="preserve">        Курение во время проведения официальных мероприятий, включая официальную тренировку, соревнование, церемоний открытия и закрытия, а также проведения совещаний и жеребьевок команд -  запрещено. </w:t>
      </w:r>
    </w:p>
    <w:p w14:paraId="31000000">
      <w:pPr>
        <w:ind w:firstLine="627" w:left="0"/>
        <w:jc w:val="center"/>
        <w:rPr>
          <w:b w:val="1"/>
          <w:i w:val="1"/>
          <w:sz w:val="24"/>
        </w:rPr>
      </w:pPr>
      <w:r>
        <w:rPr>
          <w:rStyle w:val="Style_6_ch"/>
          <w:b w:val="1"/>
          <w:sz w:val="24"/>
        </w:rPr>
        <w:t xml:space="preserve">В соответствии с законом о ФКиС в РФ (статья 20.1. Обеспечение добросовестной конкуренции в связи с организацией и проведением физкультурных мероприятий или спортивных мероприятий), командам и спортсменам запрещена какая-либо реклама в местах проведения официальных мероприятий и проведения туров, кроме рекламы заявленных в оргкомитет спонсоров соревнования. </w:t>
      </w:r>
    </w:p>
    <w:p w14:paraId="32000000">
      <w:pPr>
        <w:pStyle w:val="Style_7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соревнований:</w:t>
      </w:r>
    </w:p>
    <w:p w14:paraId="33000000">
      <w:pPr>
        <w:pStyle w:val="Style_7"/>
        <w:ind/>
        <w:jc w:val="center"/>
        <w:rPr>
          <w:b w:val="1"/>
          <w:sz w:val="28"/>
        </w:rPr>
      </w:pPr>
      <w:r>
        <w:rPr>
          <w:rStyle w:val="Style_6_ch"/>
          <w:rFonts w:ascii="Times New Roman" w:hAnsi="Times New Roman"/>
          <w:sz w:val="28"/>
        </w:rPr>
        <w:t>Время местное</w:t>
      </w:r>
    </w:p>
    <w:p w14:paraId="3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2 7 июля, воскресенье</w:t>
      </w:r>
    </w:p>
    <w:p w14:paraId="35000000">
      <w:pPr>
        <w:rPr>
          <w:sz w:val="28"/>
        </w:rPr>
      </w:pPr>
      <w:r>
        <w:rPr>
          <w:sz w:val="28"/>
        </w:rPr>
        <w:t>06.00 — начало регистрации</w:t>
      </w:r>
    </w:p>
    <w:p w14:paraId="36000000">
      <w:pPr>
        <w:rPr>
          <w:sz w:val="28"/>
        </w:rPr>
      </w:pPr>
      <w:r>
        <w:rPr>
          <w:sz w:val="28"/>
        </w:rPr>
        <w:t>06.45—  окончание регистрации участников,общее построение на берегу у места старта официальное открытие   соревнования, совещание с капитанами команд, жеребьёвка старта моторных лодок</w:t>
      </w:r>
    </w:p>
    <w:p w14:paraId="37000000">
      <w:pPr>
        <w:rPr>
          <w:sz w:val="28"/>
        </w:rPr>
      </w:pPr>
      <w:r>
        <w:rPr>
          <w:sz w:val="28"/>
        </w:rPr>
        <w:t xml:space="preserve">07.00 — старт </w:t>
      </w:r>
    </w:p>
    <w:p w14:paraId="38000000">
      <w:pPr>
        <w:rPr>
          <w:sz w:val="28"/>
        </w:rPr>
      </w:pPr>
      <w:r>
        <w:rPr>
          <w:sz w:val="28"/>
        </w:rPr>
        <w:t>1</w:t>
      </w:r>
      <w:r>
        <w:rPr>
          <w:sz w:val="28"/>
        </w:rPr>
        <w:t>4</w:t>
      </w:r>
      <w:r>
        <w:rPr>
          <w:sz w:val="28"/>
        </w:rPr>
        <w:t xml:space="preserve">.00 — финиш </w:t>
      </w:r>
      <w:r>
        <w:rPr>
          <w:sz w:val="28"/>
        </w:rPr>
        <w:t>,подведение итогов, награждение победителей.</w:t>
      </w:r>
    </w:p>
    <w:p w14:paraId="39000000">
      <w:pPr>
        <w:pStyle w:val="Style_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награждение победителей, закрытие соревнований</w:t>
      </w:r>
    </w:p>
    <w:p w14:paraId="3A000000">
      <w:pPr>
        <w:pStyle w:val="Style_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Оргкомитет имеет право изменить регламент в силу непредвиденных обстоятельств, включая погодные условия.</w:t>
      </w:r>
    </w:p>
    <w:p w14:paraId="3B000000">
      <w:pPr>
        <w:ind w:firstLine="709" w:left="0"/>
        <w:jc w:val="right"/>
        <w:rPr>
          <w:b w:val="1"/>
          <w:sz w:val="24"/>
        </w:rPr>
      </w:pPr>
    </w:p>
    <w:p w14:paraId="3C000000">
      <w:pPr>
        <w:ind w:firstLine="709" w:left="0"/>
        <w:jc w:val="center"/>
        <w:rPr>
          <w:b w:val="1"/>
          <w:sz w:val="24"/>
        </w:rPr>
      </w:pPr>
      <w:r>
        <w:rPr>
          <w:b w:val="1"/>
          <w:sz w:val="24"/>
        </w:rPr>
        <w:t xml:space="preserve"> Условия финансирования</w:t>
      </w:r>
    </w:p>
    <w:p w14:paraId="3D000000">
      <w:pPr>
        <w:pStyle w:val="Style_9"/>
        <w:rPr>
          <w:rStyle w:val="Style_6_ch"/>
          <w:b w:val="1"/>
          <w:i w:val="0"/>
        </w:rPr>
      </w:pPr>
      <w:r>
        <w:rPr>
          <w:rStyle w:val="Style_6_ch"/>
          <w:b w:val="0"/>
          <w:i w:val="0"/>
        </w:rPr>
        <w:t>Добровольный</w:t>
      </w:r>
      <w:r>
        <w:rPr>
          <w:rStyle w:val="Style_6_ch"/>
          <w:b w:val="0"/>
          <w:i w:val="0"/>
        </w:rPr>
        <w:t xml:space="preserve"> с</w:t>
      </w:r>
      <w:r>
        <w:rPr>
          <w:rStyle w:val="Style_6_ch"/>
          <w:b w:val="0"/>
          <w:i w:val="0"/>
        </w:rPr>
        <w:t>тартовый взнос</w:t>
      </w:r>
      <w:r>
        <w:rPr>
          <w:rStyle w:val="Style_6_ch"/>
          <w:b w:val="0"/>
          <w:i w:val="0"/>
        </w:rPr>
        <w:t xml:space="preserve"> на </w:t>
      </w:r>
      <w:r>
        <w:rPr>
          <w:rStyle w:val="Style_6_ch"/>
          <w:b w:val="1"/>
          <w:i w:val="0"/>
        </w:rPr>
        <w:t xml:space="preserve"> </w:t>
      </w:r>
      <w:r>
        <w:rPr>
          <w:rStyle w:val="Style_6_ch"/>
          <w:i w:val="0"/>
        </w:rPr>
        <w:t>питание</w:t>
      </w:r>
      <w:r>
        <w:rPr>
          <w:rStyle w:val="Style_6_ch"/>
          <w:i w:val="0"/>
        </w:rPr>
        <w:t xml:space="preserve"> </w:t>
      </w:r>
      <w:r>
        <w:rPr>
          <w:rStyle w:val="Style_6_ch"/>
          <w:i w:val="0"/>
        </w:rPr>
        <w:t>ГСК, судей-контролеров,</w:t>
      </w:r>
      <w:r>
        <w:rPr>
          <w:rStyle w:val="Style_6_ch"/>
          <w:i w:val="0"/>
        </w:rPr>
        <w:t>наградная</w:t>
      </w:r>
      <w:r>
        <w:rPr>
          <w:rStyle w:val="Style_6_ch"/>
          <w:i w:val="0"/>
        </w:rPr>
        <w:t xml:space="preserve"> атрибутика ,</w:t>
      </w:r>
      <w:bookmarkStart w:id="1" w:name="_GoBack"/>
      <w:bookmarkEnd w:id="1"/>
      <w:r>
        <w:rPr>
          <w:rStyle w:val="Style_6_ch"/>
          <w:i w:val="0"/>
        </w:rPr>
        <w:t xml:space="preserve"> техническое обеспечение соревнований </w:t>
      </w:r>
      <w:r>
        <w:rPr>
          <w:rStyle w:val="Style_6_ch"/>
          <w:b w:val="1"/>
          <w:i w:val="0"/>
        </w:rPr>
        <w:t>оплатить до</w:t>
      </w:r>
      <w:r>
        <w:rPr>
          <w:rStyle w:val="Style_6_ch"/>
          <w:b w:val="1"/>
          <w:i w:val="0"/>
        </w:rPr>
        <w:t xml:space="preserve"> 21</w:t>
      </w:r>
      <w:r>
        <w:rPr>
          <w:rStyle w:val="Style_6_ch"/>
          <w:b w:val="1"/>
          <w:i w:val="0"/>
        </w:rPr>
        <w:t xml:space="preserve"> </w:t>
      </w:r>
      <w:r>
        <w:rPr>
          <w:rStyle w:val="Style_6_ch"/>
          <w:b w:val="1"/>
          <w:i w:val="0"/>
        </w:rPr>
        <w:t xml:space="preserve"> июля</w:t>
      </w:r>
      <w:r>
        <w:rPr>
          <w:rStyle w:val="Style_6_ch"/>
          <w:b w:val="1"/>
          <w:i w:val="0"/>
        </w:rPr>
        <w:t xml:space="preserve"> 202</w:t>
      </w:r>
      <w:r>
        <w:rPr>
          <w:rStyle w:val="Style_6_ch"/>
          <w:b w:val="1"/>
          <w:i w:val="0"/>
        </w:rPr>
        <w:t>5</w:t>
      </w:r>
      <w:r>
        <w:rPr>
          <w:rStyle w:val="Style_6_ch"/>
          <w:b w:val="1"/>
          <w:i w:val="0"/>
        </w:rPr>
        <w:t xml:space="preserve"> г. в размере </w:t>
      </w:r>
      <w:r>
        <w:rPr>
          <w:rStyle w:val="Style_6_ch"/>
          <w:b w:val="1"/>
          <w:i w:val="0"/>
        </w:rPr>
        <w:t>20</w:t>
      </w:r>
      <w:r>
        <w:rPr>
          <w:rStyle w:val="Style_6_ch"/>
          <w:b w:val="1"/>
          <w:i w:val="0"/>
        </w:rPr>
        <w:t>00 рублей с одного экипажа, для членов ФРС Саратовской Области оплатившие членские взносы за 202</w:t>
      </w:r>
      <w:r>
        <w:rPr>
          <w:rStyle w:val="Style_6_ch"/>
          <w:b w:val="1"/>
          <w:i w:val="0"/>
        </w:rPr>
        <w:t>5</w:t>
      </w:r>
      <w:r>
        <w:rPr>
          <w:rStyle w:val="Style_6_ch"/>
          <w:b w:val="1"/>
          <w:i w:val="0"/>
        </w:rPr>
        <w:t xml:space="preserve"> год 1</w:t>
      </w:r>
      <w:r>
        <w:rPr>
          <w:rStyle w:val="Style_6_ch"/>
          <w:b w:val="1"/>
          <w:i w:val="0"/>
        </w:rPr>
        <w:t>5</w:t>
      </w:r>
      <w:r>
        <w:rPr>
          <w:rStyle w:val="Style_6_ch"/>
          <w:b w:val="1"/>
          <w:i w:val="0"/>
        </w:rPr>
        <w:t>00 рублей.</w:t>
      </w:r>
    </w:p>
    <w:p w14:paraId="3E000000">
      <w:pPr>
        <w:pStyle w:val="Style_9"/>
        <w:rPr>
          <w:rStyle w:val="Style_6_ch"/>
          <w:i w:val="0"/>
        </w:rPr>
      </w:pPr>
      <w:r>
        <w:rPr>
          <w:rStyle w:val="Style_6_ch"/>
          <w:i w:val="0"/>
        </w:rPr>
        <w:t xml:space="preserve"> </w:t>
      </w:r>
      <w:r>
        <w:rPr>
          <w:rStyle w:val="Style_6_ch"/>
          <w:b w:val="1"/>
          <w:i w:val="0"/>
        </w:rPr>
        <w:t>Оплата взноса на месте 3000 с экипажа</w:t>
      </w:r>
    </w:p>
    <w:p w14:paraId="3F000000">
      <w:pPr>
        <w:pStyle w:val="Style_9"/>
        <w:rPr>
          <w:rStyle w:val="Style_6_ch"/>
          <w:i w:val="0"/>
        </w:rPr>
      </w:pPr>
      <w:r>
        <w:rPr>
          <w:rStyle w:val="Style_6_ch"/>
          <w:i w:val="0"/>
        </w:rPr>
        <w:t xml:space="preserve">     Расходы по командированию участников, руководителей делегаций, тренеров, судей в составе делегации на соревнования (проезд, питание, проживание, страховка) обеспечивают командирующие организации.</w:t>
      </w:r>
    </w:p>
    <w:p w14:paraId="40000000">
      <w:pPr>
        <w:ind/>
        <w:jc w:val="both"/>
        <w:rPr>
          <w:sz w:val="24"/>
        </w:rPr>
      </w:pPr>
      <w:r>
        <w:rPr>
          <w:rStyle w:val="Style_10_ch"/>
          <w:sz w:val="24"/>
        </w:rPr>
        <w:t xml:space="preserve">     </w:t>
      </w:r>
    </w:p>
    <w:p w14:paraId="41000000">
      <w:pPr>
        <w:ind w:firstLine="720" w:left="0" w:right="-54"/>
        <w:jc w:val="center"/>
        <w:rPr>
          <w:b w:val="1"/>
          <w:sz w:val="24"/>
        </w:rPr>
      </w:pPr>
    </w:p>
    <w:p w14:paraId="42000000">
      <w:pPr>
        <w:ind w:firstLine="720" w:left="0" w:right="-54"/>
        <w:jc w:val="center"/>
        <w:rPr>
          <w:b w:val="1"/>
          <w:sz w:val="24"/>
        </w:rPr>
      </w:pPr>
      <w:r>
        <w:rPr>
          <w:b w:val="1"/>
          <w:sz w:val="24"/>
        </w:rPr>
        <w:t xml:space="preserve"> Награждение победителей и призеро</w:t>
      </w:r>
      <w:r>
        <w:rPr>
          <w:b w:val="1"/>
          <w:sz w:val="24"/>
        </w:rPr>
        <w:t>в</w:t>
      </w:r>
      <w:r>
        <w:rPr>
          <w:b w:val="1"/>
          <w:sz w:val="24"/>
        </w:rPr>
        <w:t xml:space="preserve"> .</w:t>
      </w:r>
    </w:p>
    <w:p w14:paraId="43000000">
      <w:pPr>
        <w:ind w:firstLine="720" w:left="0" w:right="-54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Участники, занявшие призовые места (1, 2, 3) в парных дисциплинах программы и командных спортивных соревнований награждаются кубками, медалями и дипломами. </w:t>
      </w:r>
    </w:p>
    <w:p w14:paraId="44000000">
      <w:pPr>
        <w:ind w:firstLine="720" w:left="0" w:right="-54"/>
        <w:jc w:val="center"/>
        <w:rPr>
          <w:color w:val="000000"/>
          <w:sz w:val="24"/>
        </w:rPr>
      </w:pPr>
    </w:p>
    <w:p w14:paraId="45000000">
      <w:pPr>
        <w:ind w:firstLine="720" w:left="0" w:right="-54"/>
        <w:jc w:val="center"/>
        <w:rPr>
          <w:color w:val="000000"/>
          <w:sz w:val="24"/>
        </w:rPr>
      </w:pPr>
    </w:p>
    <w:p w14:paraId="46000000">
      <w:pPr>
        <w:ind w:firstLine="720" w:left="0" w:right="-54"/>
        <w:jc w:val="center"/>
        <w:rPr>
          <w:color w:val="000000"/>
          <w:sz w:val="24"/>
        </w:rPr>
      </w:pPr>
    </w:p>
    <w:p w14:paraId="47000000">
      <w:pPr>
        <w:ind w:firstLine="720" w:left="0" w:right="-54"/>
        <w:jc w:val="left"/>
        <w:rPr>
          <w:color w:val="000000"/>
          <w:sz w:val="28"/>
        </w:rPr>
      </w:pPr>
    </w:p>
    <w:sectPr>
      <w:headerReference r:id="rId2" w:type="default"/>
      <w:footerReference r:id="rId1" w:type="first"/>
      <w:pgSz w:h="16838" w:orient="portrait" w:w="11906"/>
      <w:pgMar w:bottom="1134" w:footer="737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5400" w:val="left"/>
      </w:tabs>
      <w:ind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fldChar w:fldCharType="end"/>
    </w:r>
  </w:p>
  <w:p w14:paraId="02000000">
    <w:pPr>
      <w:pStyle w:val="Style_3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rPr>
      <w:rFonts w:ascii="Times New Roman" w:hAnsi="Times New Roman"/>
    </w:rPr>
  </w:style>
  <w:style w:default="1" w:styleId="Style_11_ch" w:type="character">
    <w:name w:val="Normal"/>
    <w:link w:val="Style_11"/>
    <w:rPr>
      <w:rFonts w:ascii="Times New Roman" w:hAnsi="Times New Roman"/>
    </w:rPr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Body Text Indent 3"/>
    <w:basedOn w:val="Style_11"/>
    <w:link w:val="Style_13_ch"/>
    <w:pPr>
      <w:spacing w:after="120"/>
      <w:ind w:firstLine="0" w:left="283"/>
    </w:pPr>
    <w:rPr>
      <w:sz w:val="16"/>
    </w:rPr>
  </w:style>
  <w:style w:styleId="Style_13_ch" w:type="character">
    <w:name w:val="Body Text Indent 3"/>
    <w:basedOn w:val="Style_11_ch"/>
    <w:link w:val="Style_13"/>
    <w:rPr>
      <w:sz w:val="16"/>
    </w:rPr>
  </w:style>
  <w:style w:styleId="Style_14" w:type="paragraph">
    <w:name w:val="toc 4"/>
    <w:next w:val="Style_11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8" w:type="paragraph">
    <w:name w:val="Plain Text"/>
    <w:basedOn w:val="Style_11"/>
    <w:link w:val="Style_8_ch"/>
    <w:rPr>
      <w:rFonts w:ascii="Courier New" w:hAnsi="Courier New"/>
      <w:sz w:val="20"/>
    </w:rPr>
  </w:style>
  <w:style w:styleId="Style_8_ch" w:type="character">
    <w:name w:val="Plain Text"/>
    <w:basedOn w:val="Style_11_ch"/>
    <w:link w:val="Style_8"/>
    <w:rPr>
      <w:rFonts w:ascii="Courier New" w:hAnsi="Courier New"/>
      <w:sz w:val="20"/>
    </w:rPr>
  </w:style>
  <w:style w:styleId="Style_15" w:type="paragraph">
    <w:name w:val="toc 6"/>
    <w:next w:val="Style_11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11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Body Text Char"/>
    <w:link w:val="Style_17_ch"/>
    <w:rPr>
      <w:sz w:val="28"/>
    </w:rPr>
  </w:style>
  <w:style w:styleId="Style_17_ch" w:type="character">
    <w:name w:val="Body Text Char"/>
    <w:link w:val="Style_17"/>
    <w:rPr>
      <w:sz w:val="28"/>
    </w:rPr>
  </w:style>
  <w:style w:styleId="Style_2" w:type="paragraph">
    <w:name w:val="page number"/>
    <w:basedOn w:val="Style_18"/>
    <w:link w:val="Style_2_ch"/>
  </w:style>
  <w:style w:styleId="Style_2_ch" w:type="character">
    <w:name w:val="page number"/>
    <w:basedOn w:val="Style_18_ch"/>
    <w:link w:val="Style_2"/>
  </w:style>
  <w:style w:styleId="Style_3" w:type="paragraph">
    <w:name w:val="header"/>
    <w:basedOn w:val="Style_11"/>
    <w:link w:val="Style_3_ch"/>
    <w:pPr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11_ch"/>
    <w:link w:val="Style_3"/>
  </w:style>
  <w:style w:styleId="Style_7" w:type="paragraph">
    <w:name w:val="heading 3"/>
    <w:basedOn w:val="Style_11"/>
    <w:next w:val="Style_11"/>
    <w:link w:val="Style_7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7_ch" w:type="character">
    <w:name w:val="heading 3"/>
    <w:basedOn w:val="Style_11_ch"/>
    <w:link w:val="Style_7"/>
    <w:rPr>
      <w:rFonts w:ascii="Arial" w:hAnsi="Arial"/>
      <w:b w:val="1"/>
      <w:sz w:val="26"/>
    </w:rPr>
  </w:style>
  <w:style w:styleId="Style_19" w:type="paragraph">
    <w:name w:val="rmctufit"/>
    <w:basedOn w:val="Style_11"/>
    <w:link w:val="Style_19_ch"/>
    <w:pPr>
      <w:spacing w:afterAutospacing="on" w:beforeAutospacing="on"/>
      <w:ind/>
    </w:pPr>
    <w:rPr>
      <w:sz w:val="24"/>
    </w:rPr>
  </w:style>
  <w:style w:styleId="Style_19_ch" w:type="character">
    <w:name w:val="rmctufit"/>
    <w:basedOn w:val="Style_11_ch"/>
    <w:link w:val="Style_19"/>
    <w:rPr>
      <w:sz w:val="24"/>
    </w:rPr>
  </w:style>
  <w:style w:styleId="Style_5" w:type="paragraph">
    <w:name w:val="Normal (Web)"/>
    <w:basedOn w:val="Style_11"/>
    <w:link w:val="Style_5_ch"/>
    <w:pPr>
      <w:spacing w:afterAutospacing="on" w:beforeAutospacing="on"/>
      <w:ind/>
    </w:pPr>
    <w:rPr>
      <w:sz w:val="24"/>
    </w:rPr>
  </w:style>
  <w:style w:styleId="Style_5_ch" w:type="character">
    <w:name w:val="Normal (Web)"/>
    <w:basedOn w:val="Style_11_ch"/>
    <w:link w:val="Style_5"/>
    <w:rPr>
      <w:sz w:val="24"/>
    </w:rPr>
  </w:style>
  <w:style w:styleId="Style_20" w:type="paragraph">
    <w:name w:val="Body Text 2"/>
    <w:basedOn w:val="Style_11"/>
    <w:link w:val="Style_20_ch"/>
    <w:pPr>
      <w:spacing w:after="120" w:line="480" w:lineRule="auto"/>
      <w:ind/>
    </w:pPr>
  </w:style>
  <w:style w:styleId="Style_20_ch" w:type="character">
    <w:name w:val="Body Text 2"/>
    <w:basedOn w:val="Style_11_ch"/>
    <w:link w:val="Style_20"/>
  </w:style>
  <w:style w:styleId="Style_21" w:type="paragraph">
    <w:name w:val="normaltext style3"/>
    <w:basedOn w:val="Style_18"/>
    <w:link w:val="Style_21_ch"/>
  </w:style>
  <w:style w:styleId="Style_21_ch" w:type="character">
    <w:name w:val="normaltext style3"/>
    <w:basedOn w:val="Style_18_ch"/>
    <w:link w:val="Style_21"/>
  </w:style>
  <w:style w:styleId="Style_10" w:type="paragraph">
    <w:name w:val="style31"/>
    <w:link w:val="Style_10_ch"/>
    <w:rPr>
      <w:color w:val="000000"/>
    </w:rPr>
  </w:style>
  <w:style w:styleId="Style_10_ch" w:type="character">
    <w:name w:val="style31"/>
    <w:link w:val="Style_10"/>
    <w:rPr>
      <w:color w:val="00000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2" w:type="paragraph">
    <w:name w:val="Strong"/>
    <w:link w:val="Style_22_ch"/>
    <w:rPr>
      <w:b w:val="1"/>
    </w:rPr>
  </w:style>
  <w:style w:styleId="Style_22_ch" w:type="character">
    <w:name w:val="Strong"/>
    <w:link w:val="Style_22"/>
    <w:rPr>
      <w:b w:val="1"/>
    </w:rPr>
  </w:style>
  <w:style w:styleId="Style_23" w:type="paragraph">
    <w:name w:val="Body Text Indent 2"/>
    <w:basedOn w:val="Style_11"/>
    <w:link w:val="Style_23_ch"/>
    <w:pPr>
      <w:spacing w:after="120" w:line="480" w:lineRule="auto"/>
      <w:ind w:firstLine="0" w:left="283"/>
    </w:pPr>
  </w:style>
  <w:style w:styleId="Style_23_ch" w:type="character">
    <w:name w:val="Body Text Indent 2"/>
    <w:basedOn w:val="Style_11_ch"/>
    <w:link w:val="Style_23"/>
  </w:style>
  <w:style w:styleId="Style_24" w:type="paragraph">
    <w:name w:val="Body Text"/>
    <w:basedOn w:val="Style_11"/>
    <w:link w:val="Style_24_ch"/>
    <w:pPr>
      <w:ind/>
      <w:jc w:val="both"/>
    </w:pPr>
    <w:rPr>
      <w:sz w:val="28"/>
    </w:rPr>
  </w:style>
  <w:style w:styleId="Style_24_ch" w:type="character">
    <w:name w:val="Body Text"/>
    <w:basedOn w:val="Style_11_ch"/>
    <w:link w:val="Style_24"/>
    <w:rPr>
      <w:sz w:val="28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25" w:type="paragraph">
    <w:name w:val="Balloon Text"/>
    <w:basedOn w:val="Style_11"/>
    <w:link w:val="Style_25_ch"/>
    <w:rPr>
      <w:rFonts w:ascii="Tahoma" w:hAnsi="Tahoma"/>
      <w:sz w:val="16"/>
    </w:rPr>
  </w:style>
  <w:style w:styleId="Style_25_ch" w:type="character">
    <w:name w:val="Balloon Text"/>
    <w:basedOn w:val="Style_11_ch"/>
    <w:link w:val="Style_25"/>
    <w:rPr>
      <w:rFonts w:ascii="Tahoma" w:hAnsi="Tahoma"/>
      <w:sz w:val="16"/>
    </w:rPr>
  </w:style>
  <w:style w:styleId="Style_26" w:type="paragraph">
    <w:name w:val="toc 3"/>
    <w:next w:val="Style_11"/>
    <w:link w:val="Style_2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email"/>
    <w:basedOn w:val="Style_18"/>
    <w:link w:val="Style_27_ch"/>
  </w:style>
  <w:style w:styleId="Style_27_ch" w:type="character">
    <w:name w:val="email"/>
    <w:basedOn w:val="Style_18_ch"/>
    <w:link w:val="Style_27"/>
  </w:style>
  <w:style w:styleId="Style_28" w:type="paragraph">
    <w:name w:val="rmcuujie"/>
    <w:basedOn w:val="Style_11"/>
    <w:link w:val="Style_28_ch"/>
    <w:pPr>
      <w:spacing w:afterAutospacing="on" w:beforeAutospacing="on"/>
      <w:ind/>
    </w:pPr>
    <w:rPr>
      <w:sz w:val="24"/>
    </w:rPr>
  </w:style>
  <w:style w:styleId="Style_28_ch" w:type="character">
    <w:name w:val="rmcuujie"/>
    <w:basedOn w:val="Style_11_ch"/>
    <w:link w:val="Style_28"/>
    <w:rPr>
      <w:sz w:val="24"/>
    </w:rPr>
  </w:style>
  <w:style w:styleId="Style_29" w:type="paragraph">
    <w:name w:val="subhead"/>
    <w:basedOn w:val="Style_11"/>
    <w:link w:val="Style_29_ch"/>
    <w:pPr>
      <w:spacing w:afterAutospacing="on" w:beforeAutospacing="on"/>
      <w:ind/>
    </w:pPr>
    <w:rPr>
      <w:rFonts w:ascii="Verdana" w:hAnsi="Verdana"/>
      <w:b w:val="1"/>
      <w:sz w:val="18"/>
    </w:rPr>
  </w:style>
  <w:style w:styleId="Style_29_ch" w:type="character">
    <w:name w:val="subhead"/>
    <w:basedOn w:val="Style_11_ch"/>
    <w:link w:val="Style_29"/>
    <w:rPr>
      <w:rFonts w:ascii="Verdana" w:hAnsi="Verdana"/>
      <w:b w:val="1"/>
      <w:sz w:val="18"/>
    </w:rPr>
  </w:style>
  <w:style w:styleId="Style_30" w:type="paragraph">
    <w:name w:val="heading 5"/>
    <w:basedOn w:val="Style_11"/>
    <w:next w:val="Style_11"/>
    <w:link w:val="Style_30_ch"/>
    <w:uiPriority w:val="9"/>
    <w:qFormat/>
    <w:pPr>
      <w:spacing w:after="60" w:before="240"/>
      <w:ind/>
      <w:outlineLvl w:val="4"/>
    </w:pPr>
    <w:rPr>
      <w:b w:val="1"/>
      <w:i w:val="1"/>
      <w:sz w:val="26"/>
    </w:rPr>
  </w:style>
  <w:style w:styleId="Style_30_ch" w:type="character">
    <w:name w:val="heading 5"/>
    <w:basedOn w:val="Style_11_ch"/>
    <w:link w:val="Style_30"/>
    <w:rPr>
      <w:b w:val="1"/>
      <w:i w:val="1"/>
      <w:sz w:val="26"/>
    </w:rPr>
  </w:style>
  <w:style w:styleId="Style_31" w:type="paragraph">
    <w:name w:val="List Paragraph"/>
    <w:basedOn w:val="Style_11"/>
    <w:link w:val="Style_31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1_ch" w:type="character">
    <w:name w:val="List Paragraph"/>
    <w:basedOn w:val="Style_11_ch"/>
    <w:link w:val="Style_31"/>
    <w:rPr>
      <w:rFonts w:ascii="Calibri" w:hAnsi="Calibri"/>
      <w:sz w:val="22"/>
    </w:rPr>
  </w:style>
  <w:style w:styleId="Style_4" w:type="paragraph">
    <w:name w:val="heading 1"/>
    <w:basedOn w:val="Style_11"/>
    <w:next w:val="Style_11"/>
    <w:link w:val="Style_4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11_ch"/>
    <w:link w:val="Style_4"/>
    <w:rPr>
      <w:rFonts w:ascii="Arial" w:hAnsi="Arial"/>
      <w:b w:val="1"/>
      <w:sz w:val="32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11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0"/>
    </w:rPr>
  </w:style>
  <w:style w:styleId="Style_35_ch" w:type="character">
    <w:name w:val="Header and Footer"/>
    <w:link w:val="Style_35"/>
    <w:rPr>
      <w:rFonts w:ascii="XO Thames" w:hAnsi="XO Thames"/>
      <w:sz w:val="20"/>
    </w:rPr>
  </w:style>
  <w:style w:styleId="Style_36" w:type="paragraph">
    <w:name w:val="Знак Знак12"/>
    <w:link w:val="Style_36_ch"/>
    <w:rPr>
      <w:sz w:val="24"/>
    </w:rPr>
  </w:style>
  <w:style w:styleId="Style_36_ch" w:type="character">
    <w:name w:val="Знак Знак12"/>
    <w:link w:val="Style_36"/>
    <w:rPr>
      <w:sz w:val="24"/>
    </w:rPr>
  </w:style>
  <w:style w:styleId="Style_37" w:type="paragraph">
    <w:name w:val="toc 9"/>
    <w:next w:val="Style_11"/>
    <w:link w:val="Style_3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toc 8"/>
    <w:next w:val="Style_11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toc 5"/>
    <w:next w:val="Style_11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No Spacing"/>
    <w:link w:val="Style_40_ch"/>
    <w:rPr>
      <w:rFonts w:ascii="Calibri" w:hAnsi="Calibri"/>
      <w:sz w:val="22"/>
    </w:rPr>
  </w:style>
  <w:style w:styleId="Style_40_ch" w:type="character">
    <w:name w:val="No Spacing"/>
    <w:link w:val="Style_40"/>
    <w:rPr>
      <w:rFonts w:ascii="Calibri" w:hAnsi="Calibri"/>
      <w:sz w:val="22"/>
    </w:rPr>
  </w:style>
  <w:style w:styleId="Style_6" w:type="paragraph">
    <w:name w:val="Emphasis"/>
    <w:link w:val="Style_6_ch"/>
    <w:rPr>
      <w:i w:val="1"/>
    </w:rPr>
  </w:style>
  <w:style w:styleId="Style_6_ch" w:type="character">
    <w:name w:val="Emphasis"/>
    <w:link w:val="Style_6"/>
    <w:rPr>
      <w:i w:val="1"/>
    </w:rPr>
  </w:style>
  <w:style w:styleId="Style_41" w:type="paragraph">
    <w:name w:val="Subtitle"/>
    <w:next w:val="Style_11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11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9" w:type="paragraph">
    <w:name w:val="heading 4"/>
    <w:basedOn w:val="Style_11"/>
    <w:next w:val="Style_11"/>
    <w:link w:val="Style_9_ch"/>
    <w:uiPriority w:val="9"/>
    <w:qFormat/>
    <w:pPr>
      <w:keepNext w:val="1"/>
      <w:ind/>
      <w:jc w:val="both"/>
      <w:outlineLvl w:val="3"/>
    </w:pPr>
    <w:rPr>
      <w:sz w:val="24"/>
    </w:rPr>
  </w:style>
  <w:style w:styleId="Style_9_ch" w:type="character">
    <w:name w:val="heading 4"/>
    <w:basedOn w:val="Style_11_ch"/>
    <w:link w:val="Style_9"/>
    <w:rPr>
      <w:sz w:val="24"/>
    </w:rPr>
  </w:style>
  <w:style w:styleId="Style_43" w:type="paragraph">
    <w:name w:val="heading 2"/>
    <w:next w:val="Style_11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paragraph">
    <w:name w:val="FollowedHyperlink"/>
    <w:link w:val="Style_44_ch"/>
    <w:rPr>
      <w:color w:val="800080"/>
      <w:u w:val="single"/>
    </w:rPr>
  </w:style>
  <w:style w:styleId="Style_44_ch" w:type="character">
    <w:name w:val="FollowedHyperlink"/>
    <w:link w:val="Style_44"/>
    <w:rPr>
      <w:color w:val="800080"/>
      <w:u w:val="single"/>
    </w:rPr>
  </w:style>
  <w:style w:styleId="Style_45" w:type="table">
    <w:name w:val="Table Grid"/>
    <w:basedOn w:val="Style_4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jpe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2025-07-09T11:18:40Z</dcterms:modified>
</cp:coreProperties>
</file>