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00000001">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76"/>
        <w:ind w:left="0" w:right="0" w:firstLine="0"/>
        <w:jc w:val="left"/>
        <w:rPr>
          <w:rFonts w:ascii="Arial" w:cs="Arial" w:eastAsia="Arial" w:hAnsi="Arial"/>
          <w:b w:val="false"/>
          <w:bCs w:val="false"/>
          <w:i w:val="false"/>
          <w:iCs w:val="false"/>
          <w:smallCaps w:val="false"/>
          <w:color w:val="000000"/>
          <w:sz w:val="22"/>
          <w:szCs w:val="22"/>
          <w:u w:val="none"/>
          <w:shd w:val="clear" w:color="auto" w:fill="auto"/>
          <w:vertAlign w:val="baseline"/>
        </w:rPr>
      </w:pPr>
    </w:p>
    <w:tbl>
      <w:tblPr>
        <w:tblStyle w:val="style4099"/>
        <w:tblW w:w="9463" w:type="dxa"/>
        <w:jc w:val="left"/>
        <w:tblLayout w:type="fixed"/>
        <w:tblLook w:val="0400" w:firstRow="0" w:lastRow="0" w:firstColumn="0" w:lastColumn="0" w:noHBand="0" w:noVBand="1"/>
      </w:tblPr>
      <w:tblGrid>
        <w:gridCol w:w="4265"/>
        <w:gridCol w:w="1197"/>
        <w:gridCol w:w="4001"/>
      </w:tblGrid>
      <w:tr w14:paraId="1EA27397">
        <w:trPr>
          <w:cantSplit w:val="false"/>
          <w:tblHeader w:val="false"/>
          <w:jc w:val="left"/>
        </w:trPr>
        <w:tc>
          <w:tcPr>
            <w:tcW w:w="0" w:type="auto"/>
            <w:tcBorders/>
            <w:shd w:val="clear" w:color="auto" w:fill="ffffff"/>
            <w:tcMar>
              <w:left w:w="108" w:type="dxa"/>
              <w:right w:w="108" w:type="dxa"/>
            </w:tcMar>
          </w:tcPr>
          <w:p w14:paraId="00000002">
            <w:pPr>
              <w:pStyle w:val="style0"/>
              <w:tabs>
                <w:tab w:val="left" w:leader="none" w:pos="2340"/>
              </w:tabs>
              <w:spacing w:after="0" w:lineRule="auto" w:line="24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УТВЕРЖДАЮ</w:t>
            </w:r>
          </w:p>
          <w:p w14:paraId="00000003">
            <w:pPr>
              <w:pStyle w:val="style0"/>
              <w:tabs>
                <w:tab w:val="left" w:leader="none" w:pos="2340"/>
              </w:tabs>
              <w:spacing w:after="0" w:lineRule="auto" w:line="240"/>
              <w:jc w:val="center"/>
              <w:rPr>
                <w:rFonts w:ascii="Times New Roman" w:cs="Times New Roman" w:eastAsia="Times New Roman" w:hAnsi="Times New Roman"/>
                <w:b/>
                <w:bCs/>
                <w:sz w:val="24"/>
                <w:szCs w:val="24"/>
              </w:rPr>
            </w:pPr>
          </w:p>
          <w:p w14:paraId="00000004">
            <w:pPr>
              <w:pStyle w:val="style0"/>
              <w:tabs>
                <w:tab w:val="left" w:leader="none" w:pos="2340"/>
              </w:tabs>
              <w:spacing w:after="0" w:lineRule="auto" w:line="24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Президент </w:t>
            </w:r>
          </w:p>
          <w:p w14:paraId="00000005">
            <w:pPr>
              <w:pStyle w:val="style0"/>
              <w:tabs>
                <w:tab w:val="left" w:leader="none" w:pos="2340"/>
              </w:tabs>
              <w:spacing w:after="0" w:lineRule="auto" w:line="24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РОО «Федерация рыболовного спорта Пензенской области»</w:t>
            </w:r>
          </w:p>
          <w:p w14:paraId="00000006">
            <w:pPr>
              <w:pStyle w:val="style0"/>
              <w:tabs>
                <w:tab w:val="left" w:leader="none" w:pos="2340"/>
              </w:tabs>
              <w:spacing w:after="0" w:lineRule="auto" w:line="240"/>
              <w:jc w:val="center"/>
              <w:rPr>
                <w:rFonts w:ascii="Times New Roman" w:cs="Times New Roman" w:eastAsia="Times New Roman" w:hAnsi="Times New Roman"/>
                <w:b/>
                <w:bCs/>
                <w:sz w:val="24"/>
                <w:szCs w:val="24"/>
              </w:rPr>
            </w:pPr>
          </w:p>
          <w:p w14:paraId="00000007">
            <w:pPr>
              <w:pStyle w:val="style0"/>
              <w:tabs>
                <w:tab w:val="left" w:leader="none" w:pos="2340"/>
              </w:tabs>
              <w:spacing w:after="0" w:lineRule="auto" w:line="240"/>
              <w:jc w:val="center"/>
              <w:rPr>
                <w:rFonts w:ascii="Times New Roman" w:cs="Times New Roman" w:eastAsia="Times New Roman" w:hAnsi="Times New Roman"/>
                <w:b/>
                <w:bCs/>
                <w:sz w:val="24"/>
                <w:szCs w:val="24"/>
              </w:rPr>
            </w:pPr>
          </w:p>
          <w:p w14:paraId="00000008">
            <w:pPr>
              <w:pStyle w:val="style0"/>
              <w:tabs>
                <w:tab w:val="left" w:leader="none" w:pos="2340"/>
              </w:tabs>
              <w:spacing w:after="0" w:lineRule="auto" w:line="24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_________________     А. В. Хоменко</w:t>
            </w:r>
          </w:p>
          <w:p w14:paraId="00000009">
            <w:pPr>
              <w:pStyle w:val="style0"/>
              <w:tabs>
                <w:tab w:val="left" w:leader="none" w:pos="2340"/>
              </w:tabs>
              <w:spacing w:after="0" w:lineRule="auto" w:line="240"/>
              <w:jc w:val="center"/>
              <w:rPr>
                <w:rFonts w:ascii="Times New Roman" w:cs="Times New Roman" w:eastAsia="Times New Roman" w:hAnsi="Times New Roman"/>
                <w:b/>
                <w:bCs/>
                <w:sz w:val="24"/>
                <w:szCs w:val="24"/>
              </w:rPr>
            </w:pPr>
          </w:p>
          <w:p w14:paraId="0000000A">
            <w:pPr>
              <w:pStyle w:val="style0"/>
              <w:tabs>
                <w:tab w:val="left" w:leader="none" w:pos="3525"/>
              </w:tabs>
              <w:jc w:val="center"/>
              <w:rPr/>
            </w:pPr>
            <w:r>
              <w:rPr>
                <w:rFonts w:ascii="Times New Roman" w:cs="Times New Roman" w:eastAsia="Times New Roman" w:hAnsi="Times New Roman"/>
                <w:b/>
                <w:bCs/>
              </w:rPr>
              <w:t xml:space="preserve">«_____» _______________ 2026 года </w:t>
            </w:r>
          </w:p>
        </w:tc>
        <w:tc>
          <w:tcPr>
            <w:tcW w:w="0" w:type="auto"/>
            <w:tcBorders/>
            <w:shd w:val="clear" w:color="auto" w:fill="ffffff"/>
            <w:tcMar>
              <w:left w:w="108" w:type="dxa"/>
              <w:right w:w="108" w:type="dxa"/>
            </w:tcMar>
          </w:tcPr>
          <w:p w14:paraId="0000000B">
            <w:pPr>
              <w:pStyle w:val="style0"/>
              <w:tabs>
                <w:tab w:val="left" w:leader="none" w:pos="2340"/>
              </w:tabs>
              <w:spacing w:after="0" w:lineRule="auto" w:line="240"/>
              <w:jc w:val="center"/>
              <w:rPr>
                <w:rFonts w:ascii="Calibri" w:cs="Calibri" w:eastAsia="Calibri" w:hAnsi="Calibri"/>
              </w:rPr>
            </w:pPr>
          </w:p>
        </w:tc>
        <w:tc>
          <w:tcPr>
            <w:tcW w:w="0" w:type="auto"/>
            <w:tcBorders/>
            <w:shd w:val="clear" w:color="auto" w:fill="ffffff"/>
            <w:tcMar>
              <w:left w:w="108" w:type="dxa"/>
              <w:right w:w="108" w:type="dxa"/>
            </w:tcMar>
          </w:tcPr>
          <w:p w14:paraId="0000000C">
            <w:pPr>
              <w:pStyle w:val="style0"/>
              <w:tabs>
                <w:tab w:val="left" w:leader="none" w:pos="2340"/>
              </w:tabs>
              <w:spacing w:after="0" w:lineRule="auto" w:line="240"/>
              <w:rPr>
                <w:rFonts w:ascii="Calibri" w:cs="Calibri" w:eastAsia="Calibri" w:hAnsi="Calibri"/>
              </w:rPr>
            </w:pPr>
          </w:p>
        </w:tc>
      </w:tr>
    </w:tbl>
    <w:p w14:paraId="0000000D">
      <w:pPr>
        <w:pStyle w:val="style0"/>
        <w:rPr>
          <w:b/>
          <w:bCs/>
        </w:rPr>
      </w:pPr>
    </w:p>
    <w:p w14:paraId="0000000E">
      <w:pPr>
        <w:pStyle w:val="style0"/>
        <w:spacing w:after="120"/>
        <w:jc w:val="center"/>
        <w:rPr>
          <w:b/>
          <w:bCs/>
        </w:rPr>
      </w:pPr>
      <w:r>
        <w:rPr>
          <w:rFonts w:ascii="Times New Roman" w:cs="Times New Roman" w:eastAsia="Times New Roman" w:hAnsi="Times New Roman"/>
          <w:b/>
          <w:bCs/>
          <w:sz w:val="24"/>
          <w:szCs w:val="24"/>
        </w:rPr>
        <w:t>РЕГЛАМЕНТ</w:t>
      </w:r>
    </w:p>
    <w:p w14:paraId="0000000F">
      <w:pPr>
        <w:pStyle w:val="style0"/>
        <w:spacing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проведения Чемпионата Пензенской области по рыболовному спорту</w:t>
      </w:r>
      <w:r>
        <w:rPr>
          <w:rFonts w:ascii="Times New Roman" w:cs="Times New Roman" w:eastAsia="Times New Roman" w:hAnsi="Times New Roman"/>
          <w:b/>
          <w:bCs/>
          <w:sz w:val="24"/>
          <w:szCs w:val="24"/>
        </w:rPr>
        <w:br/>
      </w:r>
      <w:r>
        <w:rPr>
          <w:rFonts w:ascii="Times New Roman" w:cs="Times New Roman" w:eastAsia="Times New Roman" w:hAnsi="Times New Roman"/>
          <w:b/>
          <w:bCs/>
          <w:sz w:val="24"/>
          <w:szCs w:val="24"/>
        </w:rPr>
        <w:t>в дисциплине «ловля спиннингом с лодок»</w:t>
      </w:r>
    </w:p>
    <w:p w14:paraId="00000010">
      <w:pPr>
        <w:pStyle w:val="style0"/>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1. Общая информация</w:t>
      </w:r>
    </w:p>
    <w:p w14:paraId="0000001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соответствии с Единым комплексным календарным планом массовых физкультурно-оздоровительных и спортивных мероприятий Пензенской области на 202</w:t>
      </w:r>
      <w:r>
        <w:rPr>
          <w:rFonts w:ascii="Times New Roman" w:cs="Times New Roman" w:eastAsia="Times New Roman" w:hAnsi="Times New Roman"/>
          <w:sz w:val="24"/>
          <w:szCs w:val="24"/>
          <w:lang w:val="en-US"/>
        </w:rPr>
        <w:t>6</w:t>
      </w:r>
      <w:r>
        <w:rPr>
          <w:rFonts w:ascii="Times New Roman" w:cs="Times New Roman" w:eastAsia="Times New Roman" w:hAnsi="Times New Roman"/>
          <w:sz w:val="24"/>
          <w:szCs w:val="24"/>
        </w:rPr>
        <w:t xml:space="preserve"> год, утверждённым Министерством физической культуры и спорта Пензенской области, и Положением об официальных спортивных соревнованиях, включенных в Единый комплексный календарный план физкультурно-оздоровительных и спортивных мероприятий Пензенской области на 2026 год по рыболовному спорту, с </w:t>
      </w:r>
      <w:r>
        <w:rPr>
          <w:rFonts w:ascii="Times New Roman" w:cs="Times New Roman" w:eastAsia="Times New Roman" w:hAnsi="Times New Roman"/>
          <w:b/>
          <w:bCs/>
          <w:sz w:val="24"/>
          <w:szCs w:val="24"/>
        </w:rPr>
        <w:t>27 по 28 июня 2026 года</w:t>
      </w:r>
      <w:r>
        <w:rPr>
          <w:rFonts w:ascii="Times New Roman" w:cs="Times New Roman" w:eastAsia="Times New Roman" w:hAnsi="Times New Roman"/>
          <w:sz w:val="24"/>
          <w:szCs w:val="24"/>
        </w:rPr>
        <w:t xml:space="preserve"> на акватории Сурского водохранилища проводится чемпионат Пензенской области по рыболовному спорту в дисциплине «ловля спиннингом с лодок».</w:t>
      </w:r>
    </w:p>
    <w:p w14:paraId="0000001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Общее руководство по организации соревнований осуществляет Региональная общественная организация (РОО) «Федерация рыболовного спорта Пензенской области». Непосредственное проведение соревнований возлагается на РОО «Федерация рыболовного спорта Пензенской области» и Главную судейскую коллегию, утверждаемую РОО «Федерация рыболовного спорта Пензенской области».</w:t>
      </w:r>
    </w:p>
    <w:p w14:paraId="0000001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Чемпионат проводится в дисциплинах «ловля спиннингом с лодок — командные соревнования (парами)» (номер-код дисциплины 092 018 1811Л) и «ловля спиннингом с лодок — парные соревнования» (номер-код дисциплины 092 019 1811Л).</w:t>
      </w:r>
    </w:p>
    <w:p w14:paraId="00000014">
      <w:pPr>
        <w:pStyle w:val="style0"/>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2. Требования к участникам и условия их допуска</w:t>
      </w:r>
    </w:p>
    <w:p w14:paraId="0000001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 участию в соревнованиях допускаются команды и спортсмены муниципальных образований, рыболовно-спортивных обществ, клубов и организаций Пензенской области и г. Пензы, а также команды и спортсмены других регионов России и Мира.</w:t>
      </w:r>
    </w:p>
    <w:p w14:paraId="0000001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Участники соревнования, использующие маломерные суда, должны иметь все разрешительные и регистрационные документы на лодку и мотор согласно требованиям ГИМС МЧС России. Маломерное судно должно быть укомплектовано в соответствии с нормами комплектации, указанными в судовом билете, в том числе и спасательными средствами (спасательный круг, спасательный жилет). </w:t>
      </w:r>
    </w:p>
    <w:p w14:paraId="0000001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Все участники соревнования должны уметь плавать. Подтверждение об умении плавать делается лично каждым участников соревнования в официальной письменной заявке. Во время передвижения по водоему все участники должны быть в спасательных жилетах.</w:t>
      </w:r>
    </w:p>
    <w:p w14:paraId="0000001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 участию в соревнованиях в составе команд/пар допускаются спортсмены от 18 лет и старше независимо от пола и спортивного разряда. Спортсмены моложе 18 лет к соревнованиям не допускаются. Возраст участников определяется на момент проведения соревнований.</w:t>
      </w:r>
    </w:p>
    <w:p w14:paraId="0000001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Состав спортивной делегации для участия в соревнованиях включает: 2 пары основного состава, одна запасная пара, одного тренера и одного представителя. Вместо запасной пары допускается один запасной спортсмен. В команде допускается замена одного спортсмена в одной паре либо одной пары либо двух спортсменов в разных парах. Команды, прибывшие в составе менее 2 полных пар, к соревнованиям не допускаются. </w:t>
      </w:r>
    </w:p>
    <w:p w14:paraId="0000001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Допускается участие спортивных пар только в личном (парном) зачете. Делегация для участия только в личном (парном зачете) включает: 2 спортсмена (1 пара) основного состава, запасной спортсмен, один тренер, один представитель. В спортивной паре допускается замена одного спортсмена на запасного. Наличие запасного спортсмена, тренера и представителя необязательно. </w:t>
      </w:r>
    </w:p>
    <w:p w14:paraId="0000001B">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Каждая пара спортсменов на соревнованиях размещается на одной лодке. </w:t>
      </w:r>
    </w:p>
    <w:p w14:paraId="0000001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Участники соревнований обязаны знать и соблюдать меры безопасности, Правила спортивного рыболовства, Положение и Регламент соревнований.</w:t>
      </w:r>
    </w:p>
    <w:p w14:paraId="0000001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w:t>
      </w:r>
    </w:p>
    <w:p w14:paraId="0000001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Участникам чемпионата необходимо представить:</w:t>
      </w:r>
    </w:p>
    <w:p w14:paraId="0000001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документ, удостоверяющий личность;</w:t>
      </w:r>
    </w:p>
    <w:p w14:paraId="00000020">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зачётную классификационную книжку (если имеется);</w:t>
      </w:r>
    </w:p>
    <w:p w14:paraId="0000002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полис обязательного медицинского страхования.</w:t>
      </w:r>
    </w:p>
    <w:p w14:paraId="00000022">
      <w:pPr>
        <w:pStyle w:val="style0"/>
        <w:tabs>
          <w:tab w:val="left" w:leader="none" w:pos="993"/>
        </w:tabs>
        <w:spacing w:after="120"/>
        <w:ind w:firstLine="709"/>
        <w:jc w:val="both"/>
        <w:rPr>
          <w:b/>
          <w:bCs/>
          <w:sz w:val="24"/>
          <w:szCs w:val="24"/>
        </w:rPr>
      </w:pPr>
      <w:r>
        <w:rPr>
          <w:rFonts w:ascii="Times New Roman" w:cs="Times New Roman" w:eastAsia="Times New Roman" w:hAnsi="Times New Roman"/>
          <w:sz w:val="24"/>
          <w:szCs w:val="24"/>
        </w:rPr>
        <w:t>Рыба, выловленная в первом туре, поступает в распоряжение оргкомитета.</w:t>
      </w:r>
    </w:p>
    <w:p w14:paraId="00000023">
      <w:pPr>
        <w:pStyle w:val="style0"/>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3. Размещение, проживание и питание участников. Стоимость услуг</w:t>
      </w:r>
    </w:p>
    <w:p w14:paraId="0000002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Размещение спортсменов производится на берегу в кемпинговом лагере. Регистрация, открытие соревнований, старт-финиш, взвешивание уловов и награждение победителей будет проходить на берегу Сурского водохранилища у западной окраины д. Ленинка Пензенского района.</w:t>
      </w:r>
    </w:p>
    <w:p w14:paraId="0000002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Схема проезда к месту сбора спортсменов и старта соревнований представлена на рисунке ниже: </w:t>
      </w:r>
    </w:p>
    <w:p w14:paraId="00000026">
      <w:pPr>
        <w:pStyle w:val="style0"/>
        <w:tabs>
          <w:tab w:val="left" w:leader="none" w:pos="993"/>
        </w:tabs>
        <w:spacing w:after="12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drawing>
          <wp:inline distL="0" distT="0" distB="0" distR="0">
            <wp:extent cx="5940425" cy="3486785"/>
            <wp:effectExtent l="0" t="0" r="0" b="0"/>
            <wp:docPr id="1026"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cstate="print"/>
                    <a:srcRect l="0" t="0" r="0" b="0"/>
                    <a:stretch/>
                  </pic:blipFill>
                  <pic:spPr>
                    <a:xfrm rot="0">
                      <a:off x="0" y="0"/>
                      <a:ext cx="5940425" cy="3486785"/>
                    </a:xfrm>
                    <a:prstGeom prst="rect"/>
                    <a:ln cmpd="sng" cap="flat" w="9525">
                      <a:solidFill>
                        <a:srgbClr val="000000"/>
                      </a:solidFill>
                      <a:prstDash val="solid"/>
                      <a:round/>
                      <a:headEnd/>
                      <a:tailEnd/>
                    </a:ln>
                  </pic:spPr>
                </pic:pic>
              </a:graphicData>
            </a:graphic>
          </wp:inline>
        </w:drawing>
      </w:r>
    </w:p>
    <w:p w14:paraId="0000002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Координаты точки сбора (места старта-финиша): 53.020371, 45.233458.</w:t>
      </w:r>
    </w:p>
    <w:p w14:paraId="00000028">
      <w:pPr>
        <w:pStyle w:val="style0"/>
        <w:spacing w:before="360" w:after="120"/>
        <w:jc w:val="center"/>
        <w:rPr>
          <w:rFonts w:ascii="Times New Roman" w:cs="Times New Roman" w:eastAsia="Times New Roman" w:hAnsi="Times New Roman"/>
          <w:b/>
          <w:bCs/>
          <w:sz w:val="24"/>
          <w:szCs w:val="24"/>
        </w:rPr>
      </w:pPr>
      <w:r>
        <w:rPr/>
        <w:t> </w:t>
      </w:r>
      <w:r>
        <w:rPr>
          <w:rFonts w:ascii="Times New Roman" w:cs="Times New Roman" w:eastAsia="Times New Roman" w:hAnsi="Times New Roman"/>
          <w:b/>
          <w:bCs/>
          <w:sz w:val="24"/>
          <w:szCs w:val="24"/>
        </w:rPr>
        <w:t>4. Описание водоема</w:t>
      </w:r>
    </w:p>
    <w:p w14:paraId="0000002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Соревнования проводятся на акватории Сурского водохранилища. Длина соревновательной зоны около 20 км, ширина — от 2 до 11 км. Течение слабое или отсутствует. Глубины в зоне ловли от 2 до 16 метров. Дно песчаное, песчано-илистое, в верхней части зоны присутствует водная и надводная растительность. Рельеф дна характеризуется большими перепадами глубин. Основные виды рыб в уловах: окунь, судак, сом, жерех и щука.</w:t>
      </w:r>
    </w:p>
    <w:p w14:paraId="0000002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Зона соревнований повторяет зону покрытия следующих карт в приложении Dap Drift:</w:t>
      </w:r>
    </w:p>
    <w:p w14:paraId="0000002B">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«Алферьевка-Камайка»;</w:t>
      </w:r>
    </w:p>
    <w:p w14:paraId="0000002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«Борок-Круглый»;</w:t>
      </w:r>
    </w:p>
    <w:p w14:paraId="0000002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«Ленинка-Акулька»;</w:t>
      </w:r>
    </w:p>
    <w:p w14:paraId="0000002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«Кристалл-Тимитярка»;</w:t>
      </w:r>
    </w:p>
    <w:p w14:paraId="0000002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«Район Усть-Узы»;</w:t>
      </w:r>
    </w:p>
    <w:p w14:paraId="00000030">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«Печарка».</w:t>
      </w:r>
    </w:p>
    <w:p w14:paraId="0000003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Координаты угловых/крайних точек зоны соревнований:</w:t>
      </w:r>
    </w:p>
    <w:p w14:paraId="0000003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А</w:t>
      </w:r>
      <w:r>
        <w:rPr>
          <w:rFonts w:ascii="Times New Roman" w:cs="Times New Roman" w:eastAsia="Times New Roman" w:hAnsi="Times New Roman"/>
          <w:sz w:val="24"/>
          <w:szCs w:val="24"/>
        </w:rPr>
        <w:t xml:space="preserve"> — 53.068025, 45.103379;</w:t>
      </w:r>
    </w:p>
    <w:p w14:paraId="0000003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Б </w:t>
      </w:r>
      <w:r>
        <w:rPr>
          <w:rFonts w:ascii="Times New Roman" w:cs="Times New Roman" w:eastAsia="Times New Roman" w:hAnsi="Times New Roman"/>
          <w:sz w:val="24"/>
          <w:szCs w:val="24"/>
        </w:rPr>
        <w:t>— 53.068058, 45.159299;</w:t>
      </w:r>
    </w:p>
    <w:p w14:paraId="0000003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В</w:t>
      </w:r>
      <w:r>
        <w:rPr>
          <w:rFonts w:ascii="Times New Roman" w:cs="Times New Roman" w:eastAsia="Times New Roman" w:hAnsi="Times New Roman"/>
          <w:sz w:val="24"/>
          <w:szCs w:val="24"/>
        </w:rPr>
        <w:t xml:space="preserve"> — 53.056754, 45.418622;</w:t>
      </w:r>
    </w:p>
    <w:p w14:paraId="0000003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Г</w:t>
      </w:r>
      <w:r>
        <w:rPr>
          <w:rFonts w:ascii="Times New Roman" w:cs="Times New Roman" w:eastAsia="Times New Roman" w:hAnsi="Times New Roman"/>
          <w:sz w:val="24"/>
          <w:szCs w:val="24"/>
        </w:rPr>
        <w:t xml:space="preserve"> — 53.035593, 45.418384;</w:t>
      </w:r>
    </w:p>
    <w:p w14:paraId="0000003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Д</w:t>
      </w:r>
      <w:r>
        <w:rPr>
          <w:rFonts w:ascii="Times New Roman" w:cs="Times New Roman" w:eastAsia="Times New Roman" w:hAnsi="Times New Roman"/>
          <w:sz w:val="24"/>
          <w:szCs w:val="24"/>
        </w:rPr>
        <w:t xml:space="preserve"> — 52.941586, 45.354959;</w:t>
      </w:r>
    </w:p>
    <w:p w14:paraId="0000003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Е</w:t>
      </w:r>
      <w:r>
        <w:rPr>
          <w:rFonts w:ascii="Times New Roman" w:cs="Times New Roman" w:eastAsia="Times New Roman" w:hAnsi="Times New Roman"/>
          <w:sz w:val="24"/>
          <w:szCs w:val="24"/>
        </w:rPr>
        <w:t xml:space="preserve"> — 52.934384, 45.352221;</w:t>
      </w:r>
    </w:p>
    <w:p w14:paraId="0000003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Ж</w:t>
      </w:r>
      <w:r>
        <w:rPr>
          <w:rFonts w:ascii="Times New Roman" w:cs="Times New Roman" w:eastAsia="Times New Roman" w:hAnsi="Times New Roman"/>
          <w:sz w:val="24"/>
          <w:szCs w:val="24"/>
        </w:rPr>
        <w:t xml:space="preserve"> — 52.931441, 45.344507.</w:t>
      </w:r>
    </w:p>
    <w:p w14:paraId="0000003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Зона соревнований:</w:t>
      </w:r>
    </w:p>
    <w:p w14:paraId="0000003A">
      <w:pPr>
        <w:pStyle w:val="style0"/>
        <w:rPr/>
      </w:pPr>
      <w:r>
        <w:rPr/>
        <w:drawing>
          <wp:inline distL="0" distT="0" distB="0" distR="0">
            <wp:extent cx="5940425" cy="4239895"/>
            <wp:effectExtent l="0" t="0" r="0" b="0"/>
            <wp:docPr id="1027"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r:embed="rId3" cstate="print"/>
                    <a:srcRect l="0" t="0" r="0" b="0"/>
                    <a:stretch/>
                  </pic:blipFill>
                  <pic:spPr>
                    <a:xfrm rot="0">
                      <a:off x="0" y="0"/>
                      <a:ext cx="5940425" cy="4239895"/>
                    </a:xfrm>
                    <a:prstGeom prst="rect"/>
                    <a:ln cmpd="sng" cap="flat" w="9525">
                      <a:solidFill>
                        <a:srgbClr val="000000"/>
                      </a:solidFill>
                      <a:prstDash val="solid"/>
                      <a:round/>
                      <a:headEnd/>
                      <a:tailEnd/>
                    </a:ln>
                  </pic:spPr>
                </pic:pic>
              </a:graphicData>
            </a:graphic>
          </wp:inline>
        </w:drawing>
      </w:r>
    </w:p>
    <w:p w14:paraId="0000003B">
      <w:pPr>
        <w:pStyle w:val="style0"/>
        <w:keepNext/>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5. Заявки на участие</w:t>
      </w:r>
    </w:p>
    <w:p w14:paraId="0000003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Предварительные заявки на участие в соревнованиях подаются в РОО «Федерация рыболовного спорта Пензенской области» до 26 июня 2026 года включительно на сайте РОО «ФРСПО» </w:t>
      </w:r>
      <w:r>
        <w:rPr/>
        <w:fldChar w:fldCharType="begin"/>
      </w:r>
      <w:r>
        <w:instrText xml:space="preserve"> HYPERLINK "http://fisher58.ru" </w:instrText>
      </w:r>
      <w:r>
        <w:rPr/>
        <w:fldChar w:fldCharType="separate"/>
      </w:r>
      <w:r>
        <w:rPr>
          <w:rFonts w:ascii="Times New Roman" w:cs="Times New Roman" w:eastAsia="Times New Roman" w:hAnsi="Times New Roman"/>
          <w:b/>
          <w:bCs/>
          <w:sz w:val="24"/>
          <w:szCs w:val="24"/>
        </w:rPr>
        <w:t>http://fisher58.ru</w:t>
      </w:r>
      <w:r>
        <w:rPr/>
        <w:fldChar w:fldCharType="end"/>
      </w:r>
      <w:r>
        <w:rPr>
          <w:rFonts w:ascii="Times New Roman" w:cs="Times New Roman" w:eastAsia="Times New Roman" w:hAnsi="Times New Roman"/>
          <w:sz w:val="24"/>
          <w:szCs w:val="24"/>
        </w:rPr>
        <w:t xml:space="preserve">, в группе ВКонтаке </w:t>
      </w:r>
      <w:r>
        <w:rPr>
          <w:rFonts w:ascii="Times New Roman" w:cs="Times New Roman" w:eastAsia="Times New Roman" w:hAnsi="Times New Roman"/>
          <w:b/>
          <w:bCs/>
          <w:sz w:val="24"/>
          <w:szCs w:val="24"/>
        </w:rPr>
        <w:t>https://vk.com/frspo</w:t>
      </w:r>
      <w:r>
        <w:rPr>
          <w:rFonts w:ascii="Times New Roman" w:cs="Times New Roman" w:eastAsia="Times New Roman" w:hAnsi="Times New Roman"/>
          <w:sz w:val="24"/>
          <w:szCs w:val="24"/>
        </w:rPr>
        <w:t xml:space="preserve"> или по телефонам организаторов: </w:t>
      </w:r>
    </w:p>
    <w:p w14:paraId="0000003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 8-927-381-80-46 — Алаев Кирилл</w:t>
      </w:r>
      <w:r>
        <w:rPr>
          <w:rFonts w:ascii="Times New Roman" w:cs="Times New Roman" w:eastAsia="Times New Roman" w:hAnsi="Times New Roman"/>
          <w:sz w:val="24"/>
          <w:szCs w:val="24"/>
        </w:rPr>
        <w:t>;</w:t>
      </w:r>
    </w:p>
    <w:p w14:paraId="0000003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8-987-505-44-03 — Рябов Артур</w:t>
      </w:r>
      <w:r>
        <w:rPr>
          <w:rFonts w:ascii="Times New Roman" w:cs="Times New Roman" w:eastAsia="Times New Roman" w:hAnsi="Times New Roman"/>
          <w:sz w:val="24"/>
          <w:szCs w:val="24"/>
        </w:rPr>
        <w:t>.</w:t>
      </w:r>
    </w:p>
    <w:p w14:paraId="0000003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Именные заявки на участие команд подаются в мандатную комиссию в первый день соревнований.</w:t>
      </w:r>
    </w:p>
    <w:p w14:paraId="00000040">
      <w:pPr>
        <w:pStyle w:val="style0"/>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6. Программа соревнований</w:t>
      </w:r>
    </w:p>
    <w:p w14:paraId="0000004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27 июня 2026 года</w:t>
      </w:r>
      <w:r>
        <w:rPr>
          <w:rFonts w:ascii="Times New Roman" w:cs="Times New Roman" w:eastAsia="Times New Roman" w:hAnsi="Times New Roman"/>
          <w:sz w:val="24"/>
          <w:szCs w:val="24"/>
        </w:rPr>
        <w:t xml:space="preserve"> — открытие соревнований 8:00, первый тур 09:00–15.00.</w:t>
      </w:r>
    </w:p>
    <w:p w14:paraId="0000004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28 июня 2025 года</w:t>
      </w:r>
      <w:r>
        <w:rPr>
          <w:rFonts w:ascii="Times New Roman" w:cs="Times New Roman" w:eastAsia="Times New Roman" w:hAnsi="Times New Roman"/>
          <w:sz w:val="24"/>
          <w:szCs w:val="24"/>
        </w:rPr>
        <w:t xml:space="preserve"> — второй тур 07:00–13:00, закрытие соревнований 15:30.</w:t>
      </w:r>
    </w:p>
    <w:p w14:paraId="00000043">
      <w:pPr>
        <w:pStyle w:val="style0"/>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7. Условия финансирования</w:t>
      </w:r>
    </w:p>
    <w:p w14:paraId="0000004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Финансирование осуществляется на долевой основе.</w:t>
      </w:r>
    </w:p>
    <w:p w14:paraId="0000004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Кубки, медали и дипломы победителям и призерам в командном и личном зачете предоставляются ГАУ ЦСП Пензенской области за счет средств субсидии на иные цели, выделенной Министерством физической культуры и спорта Пензенской области;</w:t>
      </w:r>
    </w:p>
    <w:p w14:paraId="0000004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Оплата работы судей, подготовка места проведения соревнований осуществляется за счёт средств РОО «Федерация рыболовного спорта Пензенской области» и целевых взносов;</w:t>
      </w:r>
    </w:p>
    <w:p w14:paraId="0000004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Расходы, связанные с командированием спортсменов — за счёт командирующих организаций.</w:t>
      </w:r>
    </w:p>
    <w:p w14:paraId="0000004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Целевой взнос для участников соревнований составляет </w:t>
      </w:r>
      <w:r>
        <w:rPr>
          <w:rFonts w:ascii="Times New Roman" w:cs="Times New Roman" w:eastAsia="Times New Roman" w:hAnsi="Times New Roman"/>
          <w:b/>
          <w:bCs/>
          <w:sz w:val="24"/>
          <w:szCs w:val="24"/>
        </w:rPr>
        <w:t>1.250 рублей</w:t>
      </w:r>
      <w:r>
        <w:rPr>
          <w:rFonts w:ascii="Times New Roman" w:cs="Times New Roman" w:eastAsia="Times New Roman" w:hAnsi="Times New Roman"/>
          <w:sz w:val="24"/>
          <w:szCs w:val="24"/>
        </w:rPr>
        <w:t xml:space="preserve"> с участника, кроме:</w:t>
      </w:r>
    </w:p>
    <w:p w14:paraId="0000004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членов РОО «Федерация рыболовного спорта Пензенской области», оплативших членский взнос за 2025 год в полном объеме — </w:t>
      </w:r>
      <w:r>
        <w:rPr>
          <w:rFonts w:ascii="Times New Roman" w:cs="Times New Roman" w:eastAsia="Times New Roman" w:hAnsi="Times New Roman"/>
          <w:b/>
          <w:bCs/>
          <w:sz w:val="24"/>
          <w:szCs w:val="24"/>
        </w:rPr>
        <w:t>1.000 рублей</w:t>
      </w:r>
      <w:r>
        <w:rPr>
          <w:rFonts w:ascii="Times New Roman" w:cs="Times New Roman" w:eastAsia="Times New Roman" w:hAnsi="Times New Roman"/>
          <w:sz w:val="24"/>
          <w:szCs w:val="24"/>
        </w:rPr>
        <w:t xml:space="preserve"> с участника;</w:t>
      </w:r>
    </w:p>
    <w:p w14:paraId="0000004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пенсионеров, студентов — </w:t>
      </w:r>
      <w:r>
        <w:rPr>
          <w:rFonts w:ascii="Times New Roman" w:cs="Times New Roman" w:eastAsia="Times New Roman" w:hAnsi="Times New Roman"/>
          <w:b/>
          <w:bCs/>
          <w:sz w:val="24"/>
          <w:szCs w:val="24"/>
        </w:rPr>
        <w:t>500 рублей</w:t>
      </w:r>
      <w:r>
        <w:rPr>
          <w:rFonts w:ascii="Times New Roman" w:cs="Times New Roman" w:eastAsia="Times New Roman" w:hAnsi="Times New Roman"/>
          <w:sz w:val="24"/>
          <w:szCs w:val="24"/>
        </w:rPr>
        <w:t xml:space="preserve"> с участника.</w:t>
      </w:r>
    </w:p>
    <w:p w14:paraId="0000004B">
      <w:pPr>
        <w:pStyle w:val="style0"/>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8. Награждение победителей и призеров </w:t>
      </w:r>
    </w:p>
    <w:p w14:paraId="0000004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Команды, занявшие призовые места, награждаются кубками и дипломами, а спортсмены команд — медалями и дипломами.</w:t>
      </w:r>
    </w:p>
    <w:p w14:paraId="0000004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Участники, занявшие призовые места в личном зачете, награждаются медалями и дипломами.</w:t>
      </w:r>
    </w:p>
    <w:p w14:paraId="0000004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Допускается учреждение дополнительных призов от спонсоров и партнеров чемпионата.</w:t>
      </w:r>
    </w:p>
    <w:p w14:paraId="0000004F">
      <w:pPr>
        <w:pStyle w:val="style0"/>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9. Правила и порядок проведения соревнований</w:t>
      </w:r>
    </w:p>
    <w:p w14:paraId="00000050">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Соревнования проводится в соответствии с Правилами вида спорта «Рыболовный спорт», утвержденными приказом Минспорта России от 28.08.2020 г. № 572 с последующими изменениями (далее — Правила).</w:t>
      </w:r>
    </w:p>
    <w:p w14:paraId="0000005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Соревнования проводятся в 2 тура, в 2 дня, продолжительность одного тура — 6 часов.</w:t>
      </w:r>
    </w:p>
    <w:p w14:paraId="0000005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При непредвиденных обстоятельствах тур считается состоявшимся, если его продолжительность составила не менее половины времени, отведенного Правилами и Положением для данного статуса соревнований, но не менее 3 часов. </w:t>
      </w:r>
    </w:p>
    <w:p w14:paraId="0000005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 непредвиденных обстоятельствах на соревнованиях в несколько туров, в случае если сложившиеся обстоятельства не позволяют провести все туры, соревнования считаются состоявшимися по результатам хотя бы одного проведенного тура, если продолжительность тура составила не менее половины времени, отведенного Положением (Регламентом) о соревновании на один тур соревнований, но не менее 3 часов.</w:t>
      </w:r>
    </w:p>
    <w:p w14:paraId="0000005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14:paraId="0000005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w:t>
      </w:r>
    </w:p>
    <w:p w14:paraId="0000005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0000005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Разрешается применение только искусственных приманок. </w:t>
      </w:r>
    </w:p>
    <w:p w14:paraId="0000005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(воблеров, блесен) дополнительными элементами (кембрики, нитки, шерсть, пластик, силикон). </w:t>
      </w:r>
    </w:p>
    <w:p w14:paraId="0000005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Разрешается применение аттрактантов и масел, но только для нанесения на приманки.</w:t>
      </w:r>
    </w:p>
    <w:p w14:paraId="0000005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Запрещено использование более одной оснащенной крючками приманки. Разрешается использование всех типов оснасток с искусственными приманками, в том числе разнесенные. Имитации мушек, стримеры, вабики и т.д. (используемые как с бомбардой, так и без нее) как самостоятельные приманки запрещены. Разрешено применение дополнительной огрузки на леске.</w:t>
      </w:r>
    </w:p>
    <w:p w14:paraId="0000005B">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Разрешено применение подсачека при вываживании рыбы. Подсачеком может пользоваться любой спортсмен, находящийся в лодке. Спортсменам одной пары разрешено помогать друг другу при вываживании рыбы. Разрешено при вываживании брать рыбу руками.</w:t>
      </w:r>
    </w:p>
    <w:p w14:paraId="0000005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Использование багорика при вываживании рыбы запрещено. </w:t>
      </w:r>
    </w:p>
    <w:p w14:paraId="0000005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Использование лип-грипа (челюстного захвата) любой конструкции разрешено только при извлечении приманки из пасти рыбы. При использовании лип-грипа запрещается держать рыбу в висячем положении без поддержки.</w:t>
      </w:r>
    </w:p>
    <w:p w14:paraId="0000005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Перемещение в зоне старта-финиша производится на тихом ходу. В зоне старта-финиша ловля рыбы запрещена.</w:t>
      </w:r>
    </w:p>
    <w:p w14:paraId="0000005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Контроль за ловлей и перемещением спортсменов в зоне соревнований осуществляется судьями с лодок, предоставленных организаторами. </w:t>
      </w:r>
    </w:p>
    <w:p w14:paraId="00000060">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Допускается использование только моторных лодок.</w:t>
      </w:r>
    </w:p>
    <w:p w14:paraId="0000006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Разрешается использовать подвесные моторы мощностью не более 250 л. с. (лошадиных сил). Информация о мощности мотора на идентификационной табличке на моторе должна совпадать с информацией в регистрационных документах. При несоблюдении этого правила спортсмены не допускаются до участия в соревнованиях. Допускается на маломерном судне установка двух моторов внутреннего сгорания — основного мощностью до 250 л. с. и запасного не более 30 л. с., но одновременно использовать разрешено только один. Винт второго мотора во время работы другого должен быть поднят из воды, за исключением возникновения технической неисправности мотора. Наряду с моторами внутреннего сгорания допускается оснащение лодки электрическим мотором.</w:t>
      </w:r>
    </w:p>
    <w:p w14:paraId="0000006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Максимальная скорость перемещения лодок — 80 км в час.</w:t>
      </w:r>
    </w:p>
    <w:p w14:paraId="0000006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 Судьи, находящиеся в лодке спортсменов, могут пользоваться мобильной связью только для связи с ГСК или при форс-мажорных обстоятельствах.</w:t>
      </w:r>
    </w:p>
    <w:p w14:paraId="0000006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Во время соревнований разрешается замена мотора или лодки в случае их неисправности без выделения дополнительного времени.</w:t>
      </w:r>
    </w:p>
    <w:p w14:paraId="0000006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 судьи и телеоператора (при нахождении их в лодке (катере) спортсменов).</w:t>
      </w:r>
    </w:p>
    <w:p w14:paraId="0000006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Лодки снабжаются номерами (два хорошо видимых номера приклеиваются с каждой стороны лодки). Организация, проводящая соревнования, должны предусмотреть наличие запасных клеящихся номеров для их замены в случае необходимости.</w:t>
      </w:r>
    </w:p>
    <w:p w14:paraId="0000006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Лодки могут перемещаться как с помощью моторов внутреннего сгорания, так и электрических, но в обоих случаях необходимо соблюдение местных правил пользования маломерными судами и норм безопасности.</w:t>
      </w:r>
    </w:p>
    <w:p w14:paraId="0000006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i/>
          <w:iCs/>
          <w:sz w:val="24"/>
          <w:szCs w:val="24"/>
        </w:rPr>
        <w:t>Тренировки в зоне соревнования разрешены до 8 августа 2025 года включительно.</w:t>
      </w:r>
    </w:p>
    <w:p w14:paraId="0000006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В туре соревнований подается пять сигналов: </w:t>
      </w:r>
    </w:p>
    <w:p w14:paraId="0000006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первый — «Сбор участников соревнований»;</w:t>
      </w:r>
    </w:p>
    <w:p w14:paraId="0000006B">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второй — «Приготовиться»;</w:t>
      </w:r>
    </w:p>
    <w:p w14:paraId="0000006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третий — «Старт»;</w:t>
      </w:r>
    </w:p>
    <w:p w14:paraId="0000006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четвертый — «До финиша осталось 5 минут»;</w:t>
      </w:r>
    </w:p>
    <w:p w14:paraId="0000006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пятый — «Финиш».</w:t>
      </w:r>
    </w:p>
    <w:p w14:paraId="0000006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В установленное регламентом время (не менее чем за 45 минут до старта) главный судья соревнований дает первый сигнал («Сбор участников соревнований»). Главный судья проводит построение участников соревнований, проверяет по стартовому протоколу наличие спортсменов, участвующих в туре соревнований, сверяет показания часов, объявляет место и время старта лодок, рекомендует для моторных лодок путь к месту лова и обратно, участок и порядок взвешивания или участки приема улова для измерения и выпуска, разрешает спортсменам занять свои лодки и выдвигаться в зону перед линией старта. </w:t>
      </w:r>
    </w:p>
    <w:p w14:paraId="00000070">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По второму сигналу («Приготовиться») за 5 минут до начала соревнований лодки спортсменов (спортивных пар) выстраиваются, по возможности, в один или несколько рядов на линии старта и останавливаются. </w:t>
      </w:r>
    </w:p>
    <w:p w14:paraId="0000007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 третьему сигналу («Старт») лодки спортсменов (спортивных пар) пересекают линию старта и входят в зону соревнований. После пересечения дальней границы зоны старта-финиша разрешается начать ловлю рыбы. Пара, прибывшая к месту старта с опозданием, стартует в последнюю очередь, время ее финиша остается неизменным.</w:t>
      </w:r>
    </w:p>
    <w:p w14:paraId="0000007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За 5 минут до финиша подается четвертый сигнал. </w:t>
      </w:r>
    </w:p>
    <w:p w14:paraId="0000007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 пятому сигналу («Финиш») лодки спортсменов (спортивных пар) должны быть в зоне финиша. Пары сдают протоколы судье на причале или ожидают очереди для взвешивания улова. До сдачи протоколов или до конца взвешивания улова лодки спортсменов (спортивных пар) не должны подходить вплотную к лодкам других спортсменов (спортивных пар).</w:t>
      </w:r>
    </w:p>
    <w:p w14:paraId="0000007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Выход на берег между стартом и финишем запрещен. В исключительных случаях, при крайней необходимости, разрешение может быть дано главным судьей или судьей, находящемся в лодке, с уведомлением главного судьи.</w:t>
      </w:r>
    </w:p>
    <w:p w14:paraId="0000007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Перемещение в зонах «старт-финиш», стоянки лодок, места сдачи протоколов (взвешивания) должно осуществляться на самом малом ходу. Ловля рыбы в зоне старта-финиша, а также в зонах, запрещенных для навигации, и вне границ участка соревнований запрещена (в том числе забросы за границу зоны ловли).</w:t>
      </w:r>
    </w:p>
    <w:p w14:paraId="0000007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Во время соревнований в пределах установленной зоны ловли участникам разрешается менять места ловли неограниченное число раз. Началом ловли в данном месте для пары является момент заброса приманки 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 </w:t>
      </w:r>
    </w:p>
    <w:p w14:paraId="0000007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Спортивная пара может фиксировать свою лодку в месте ловли или не фиксировать, при этом расстояние между лодками соседних пар должно быть не менее 50 метров. 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прекращения работы двигателя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 </w:t>
      </w:r>
    </w:p>
    <w:p w14:paraId="0000007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 </w:t>
      </w:r>
    </w:p>
    <w:p w14:paraId="0000007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p>
    <w:p w14:paraId="0000007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Ловящему спортсмену (приманка которого находится в воде) запрещено помогать подсачиванием рыбы напарнику. Спортсмен имеет право подсачить пойманную рыбу самостоятельно.</w:t>
      </w:r>
    </w:p>
    <w:p w14:paraId="0000007B">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Ловля на дорожку или троллингом, а также преднамеренное багрение рыбы запрещены.</w:t>
      </w:r>
    </w:p>
    <w:p w14:paraId="0000007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Запрещена ловля вертикальным блеснением (вертикальным блеснением называется способ ловли, при котором леска с приманкой входит в воду под углом 90 градусов по отношению к ее поверхности).</w:t>
      </w:r>
    </w:p>
    <w:p w14:paraId="0000007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Ловля нахлыстом или с применением нахлыстового шнура запрещаются.</w:t>
      </w:r>
    </w:p>
    <w:p w14:paraId="0000007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Запрещается осуществлять ловлю при работающем основном двигателе (двигателе внутреннего сгорания).</w:t>
      </w:r>
    </w:p>
    <w:p w14:paraId="0000007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Любая форма прикармливания рыбы запрещена. </w:t>
      </w:r>
    </w:p>
    <w:p w14:paraId="00000080">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 участках акватории соревнования шириной менее 50 метров (протоки, каналы, сужение рек, проходы и пр.) пара, занимающая место ловли так, что невозможно выполнение п. 13.39 Правил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обойти ловящую пару на самом малом ходу, с той стороны, которую укажут спортсмены ловящей пары.</w:t>
      </w:r>
    </w:p>
    <w:p w14:paraId="0000008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Лодка судей заблаговременно должна сбросить скорость, подойти на малой скорости на расстояние 60-70 метров к лодке спортсменов и остановиться, сообщая о намерении подойти для осуществления контроля. Спортсмены должны указать, с какой стороны и по какой траектории может подойти катер оргкомитета с членами судейской коллегии. Лодка организаторов с членами судейской коллегии обязан подойти на самой малой скорости.</w:t>
      </w:r>
    </w:p>
    <w:p w14:paraId="0000008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 участников.</w:t>
      </w:r>
    </w:p>
    <w:p w14:paraId="0000008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К зачету принимается всего не более 10 рыб от спортивной пары в туре. Если парой поймано более 10 экземпляров рыб, то в зачет идут только 10 самых крупных экземпляров. </w:t>
      </w:r>
    </w:p>
    <w:p w14:paraId="00000084">
      <w:pPr>
        <w:pStyle w:val="style0"/>
        <w:tabs>
          <w:tab w:val="left" w:leader="none" w:pos="993"/>
        </w:tabs>
        <w:spacing w:after="120"/>
        <w:ind w:firstLine="709"/>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Виды рыб, принимаемые к зачету:</w:t>
      </w:r>
    </w:p>
    <w:p w14:paraId="00000085">
      <w:pPr>
        <w:pStyle w:val="style0"/>
        <w:tabs>
          <w:tab w:val="left" w:leader="none" w:pos="993"/>
        </w:tabs>
        <w:spacing w:after="120"/>
        <w:ind w:firstLine="709"/>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судак, щука длиной не менее 40 см — не более 5 экземпляров каждого вида;</w:t>
      </w:r>
    </w:p>
    <w:p w14:paraId="00000086">
      <w:pPr>
        <w:pStyle w:val="style0"/>
        <w:tabs>
          <w:tab w:val="left" w:leader="none" w:pos="993"/>
        </w:tabs>
        <w:spacing w:after="120"/>
        <w:ind w:firstLine="709"/>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жерех длиной не менее 40 см — не более 3 экземпляров;</w:t>
      </w:r>
    </w:p>
    <w:p w14:paraId="00000087">
      <w:pPr>
        <w:pStyle w:val="style0"/>
        <w:tabs>
          <w:tab w:val="left" w:leader="none" w:pos="993"/>
        </w:tabs>
        <w:spacing w:after="120"/>
        <w:ind w:firstLine="709"/>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окунь без ограничения размера по длине — до 10 экз.</w:t>
      </w:r>
    </w:p>
    <w:p w14:paraId="0000008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Другие виды рыб в зачет не принимаются.</w:t>
      </w:r>
    </w:p>
    <w:p w14:paraId="0000008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Измерение рыбы производится от кончика рыла до последней чешуи (длина «a» на рисунке):</w:t>
      </w:r>
    </w:p>
    <w:p w14:paraId="0000008A">
      <w:pPr>
        <w:pStyle w:val="style0"/>
        <w:tabs>
          <w:tab w:val="left" w:leader="none" w:pos="993"/>
        </w:tabs>
        <w:spacing w:after="120"/>
        <w:jc w:val="both"/>
        <w:rPr>
          <w:rFonts w:ascii="Times New Roman" w:cs="Times New Roman" w:eastAsia="Times New Roman" w:hAnsi="Times New Roman"/>
          <w:sz w:val="24"/>
          <w:szCs w:val="24"/>
        </w:rPr>
      </w:pPr>
      <w:r>
        <w:rPr>
          <w:color w:val="000000"/>
        </w:rPr>
        <w:drawing>
          <wp:inline distL="0" distT="0" distB="0" distR="0">
            <wp:extent cx="5932805" cy="2765425"/>
            <wp:effectExtent l="0" t="0" r="0" b="0"/>
            <wp:docPr id="1028" name="image4.png" descr="Длина рыбы"/>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4" cstate="print"/>
                    <a:srcRect l="0" t="0" r="0" b="0"/>
                    <a:stretch/>
                  </pic:blipFill>
                  <pic:spPr>
                    <a:xfrm rot="0">
                      <a:off x="0" y="0"/>
                      <a:ext cx="5932805" cy="2765425"/>
                    </a:xfrm>
                    <a:prstGeom prst="rect"/>
                    <a:ln cmpd="sng" cap="flat" w="9525">
                      <a:solidFill>
                        <a:srgbClr val="000000"/>
                      </a:solidFill>
                      <a:prstDash val="solid"/>
                      <a:round/>
                      <a:headEnd/>
                      <a:tailEnd/>
                    </a:ln>
                  </pic:spPr>
                </pic:pic>
              </a:graphicData>
            </a:graphic>
          </wp:inline>
        </w:drawing>
      </w:r>
    </w:p>
    <w:p w14:paraId="0000008B">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Поимка рыбы засчитывается только тогда, когда один из крючков приманки находится в области головы (от кончика рыла до границы жаберных крышек и окончания основания грудных плавников). Случайно забагренная рыба должна быть немедленно отпущена в водоем.</w:t>
      </w:r>
    </w:p>
    <w:p w14:paraId="0000008C">
      <w:pPr>
        <w:pStyle w:val="style0"/>
        <w:tabs>
          <w:tab w:val="left" w:leader="none" w:pos="993"/>
        </w:tabs>
        <w:spacing w:after="120"/>
        <w:jc w:val="both"/>
        <w:rPr>
          <w:rFonts w:ascii="Times New Roman" w:cs="Times New Roman" w:eastAsia="Times New Roman" w:hAnsi="Times New Roman"/>
          <w:sz w:val="24"/>
          <w:szCs w:val="24"/>
        </w:rPr>
      </w:pPr>
      <w:r>
        <w:rPr>
          <w:color w:val="000000"/>
        </w:rPr>
        <w:drawing>
          <wp:inline distL="0" distT="0" distB="0" distR="0">
            <wp:extent cx="5932805" cy="2319020"/>
            <wp:effectExtent l="0" t="0" r="0" b="0"/>
            <wp:docPr id="1029" name="image1.png" descr="Судак голова-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5" cstate="print"/>
                    <a:srcRect l="0" t="0" r="0" b="0"/>
                    <a:stretch/>
                  </pic:blipFill>
                  <pic:spPr>
                    <a:xfrm rot="0">
                      <a:off x="0" y="0"/>
                      <a:ext cx="5932805" cy="2319020"/>
                    </a:xfrm>
                    <a:prstGeom prst="rect"/>
                    <a:ln cmpd="sng" cap="flat" w="9525">
                      <a:solidFill>
                        <a:srgbClr val="000000"/>
                      </a:solidFill>
                      <a:prstDash val="solid"/>
                      <a:round/>
                      <a:headEnd/>
                      <a:tailEnd/>
                    </a:ln>
                  </pic:spPr>
                </pic:pic>
              </a:graphicData>
            </a:graphic>
          </wp:inline>
        </w:drawing>
      </w:r>
    </w:p>
    <w:p w14:paraId="0000008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Зачет улова (начисление баллов) осуществляется по весу рыбы (1 грамм = 1 балл). Взвешивание осуществляется в таре, предоставляемой организаторами, на электронных весах.</w:t>
      </w:r>
    </w:p>
    <w:p w14:paraId="0000008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Перед стартом и после финиша судейская коллегия имеет право выборочного досмотра лодок на предмет наличия в них рыбы.</w:t>
      </w:r>
    </w:p>
    <w:p w14:paraId="0000008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Судейская коллегия имеет право осуществить выборочную проверку в период времени от официальной тренировки, включая один час до ее начала, и до закрытия соревнований на предмет наличия в лодке алкогольных напитков или наркотических веществ.</w:t>
      </w:r>
    </w:p>
    <w:p w14:paraId="00000090">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При работающем основном двигателе внутреннего сгорания спортсмены, судьи, телеоператоры, находящиеся в лодке, обязаны быть в спасательных жилетах. Перемещение лодки на двигателе внутреннего сгорания без спасательных жилетов на всех, находящихся в лодке, запрещено. Всем, находящимся в лодке, рекомендуется надевать спасательный жилет при неблагоприятных погодных условиях (дождь, ветер), что объявляется главным судьей. Способ оповещения участников объявляется на собрании представителей (капитанов) команд. </w:t>
      </w:r>
    </w:p>
    <w:p w14:paraId="0000009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Каждая лодка обязана прийти на помощь другой лодке, терпящей бедствие.</w:t>
      </w:r>
    </w:p>
    <w:p w14:paraId="0000009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Спортсмены, участвующие в соревнованиях, обязаны уметь плавать, что должно быть указано в заявке или ином документе, подписываемом спортсменом.</w:t>
      </w:r>
    </w:p>
    <w:p w14:paraId="0000009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14:paraId="0000009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14:paraId="0000009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В случае если неблагоприятные погодные или иные условия начинаются до отплытия лодок, подается сигнал, указывающий всем участникам выйти из лодок, при этом время старта откладывается. Если погодные или гидрологические условия позволяют продолжить соревнования в рамках распорядка дня, тур может продолжаться в нормальном режиме. Время финиша остается неизменным. В этом случае подается второй сигнал, возвещающий начало тура. Если погодные или гидрологические условия не улучшаются, или распорядок дня не позволяет продолжить соревнования, тур аннулируется. </w:t>
      </w:r>
    </w:p>
    <w:p w14:paraId="0000009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В случае если неблагоприятные условия начинаются во время тура производится немедленная остановка ловли рыбы, при этом все удилища должны быть уложены в горизонтальном положении на дальнем от спортсменов краю лодки. Сигнал приостановки соревнований передается от главного судьи судьям-контролерам по радиосвязи или по телефону, либо сигнальной ракетой (ракетами), судьи-контролеры, в свою очередь, фиксируют время поступления сигнала и оповещают всех спортсменов о приостановке ловли. </w:t>
      </w:r>
    </w:p>
    <w:p w14:paraId="0000009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Если волнение на водоеме угрожает лодкам участников, судьи-контролеры, следуя указаниям главного судьи, должны немедленно дать указание своим спортсменам направить лодки к ближайшему причалу или берегу, по возможности выйти на берег и ждать там сигнала о возобновлении соревнования. Когда погодные или гидрологические условия позволят, главный судья теми же средствами мобильной связи через судей-контролеров подает команду продолжить тур. Время финиша остается неизменным.</w:t>
      </w:r>
    </w:p>
    <w:p w14:paraId="0000009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Определение результатов соревнований среди пар проводится в согласно требованиям раздела 5 Правил в соответствии с методикой начисления баллов по весу пойманной рыбы.</w:t>
      </w:r>
    </w:p>
    <w:p w14:paraId="0000009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Результаты выступления пар в туре подводятся согласно требованиям пунктов 5.39, 5.41–5.42 Правил.</w:t>
      </w:r>
    </w:p>
    <w:p w14:paraId="0000009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 опоздании экипажа к финишу до 5 минут паре начисляются дополнительные (штрафные) очки в туре: +3 к месту, занятому в туре. При этом места, занятые остальными спортсменами, остаются без изменений.</w:t>
      </w:r>
    </w:p>
    <w:p w14:paraId="0000009B">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При опоздании более чем на 5 минут улов пары к зачету не принимается, пара считается не явившейся на финиш. </w:t>
      </w:r>
    </w:p>
    <w:p w14:paraId="0000009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Победителем командных соревнований в туре признается команда, имеющая наименьшую сумму мест (очков), набранных парами этой команды в туре.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14:paraId="0000009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w:t>
      </w:r>
    </w:p>
    <w:p w14:paraId="0000009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В случае равенства суммарного количества баллов за все туры у двух или более команд команды распределяются по наибольшему количеству баллов, набранных парой с лучшим показателем каждой команды.</w:t>
      </w:r>
    </w:p>
    <w:p w14:paraId="0000009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равенства и по этому показателю преимущество получает команда, поймавшая большее количество экземпляров рыб.</w:t>
      </w:r>
    </w:p>
    <w:p w14:paraId="000000A0">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нового равенства преимущество имеет команда, поймавшая самый крупный экземпляр.</w:t>
      </w:r>
    </w:p>
    <w:p w14:paraId="000000A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 равенстве всех показателей у двух или более команд, определенных согласно вышеприведенному алгоритму, им присваивается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000000A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 проведении соревнований в несколько туров, места команд, занятые в каждом из туров, являются информационным показателем, который не используется при подведении общих итогов соревнований.</w:t>
      </w:r>
    </w:p>
    <w:p w14:paraId="000000A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При подведении итогов личных соревнований, проводимых в несколько туров, количество баллов и количество очков (мест) пары, полученных ей в каждом из туров, суммируется. </w:t>
      </w:r>
    </w:p>
    <w:p w14:paraId="000000A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Победителем соревнований признается пара, набравший наименьшую сумму мест (очков) за все туры. Последующее распределение мест между парами осуществляется, исходя из суммарного количества мест (очков) каждой пары. Пара, имеющая меньшее количество очков, занимает более высокое место. </w:t>
      </w:r>
    </w:p>
    <w:p w14:paraId="000000A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равенства суммы мест (количества очков) у двух или более пар преимущество при определении более высокого места отдается паре, имеющей наибольшую сумму баллов за все туры соревнований.</w:t>
      </w:r>
    </w:p>
    <w:p w14:paraId="000000A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равенства баллов у двух или более пар преимущество при определении более высокого места отдается паре, набравшей большее количество баллов в последнем туре соревнований.</w:t>
      </w:r>
    </w:p>
    <w:p w14:paraId="000000A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равенства этого показателя более высокое место отдается паре, набравшей большее количество баллов в предпоследнем туре соревнований.</w:t>
      </w:r>
    </w:p>
    <w:p w14:paraId="000000A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В случае равенства и этого показателя преимущество отдается паре, поймавшей самый крупный экземпляр. </w:t>
      </w:r>
    </w:p>
    <w:p w14:paraId="000000A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000000A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Победителем командных соревнований признается команда, имеющая наименьшую сумму мест (очков), набранных парами этой команды во всех турах соревнований.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14:paraId="000000AB">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все туры.</w:t>
      </w:r>
    </w:p>
    <w:p w14:paraId="000000A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 последнем туре.</w:t>
      </w:r>
    </w:p>
    <w:p w14:paraId="000000A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равенства и по этому показателю преимущество получает команда, поймавшая большее количество экземпляров рыб в обоих турах.</w:t>
      </w:r>
    </w:p>
    <w:p w14:paraId="000000AE">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нового равенства преимущество имеет команда, поймавшая самый крупный экземпляр за время соревнований.</w:t>
      </w:r>
    </w:p>
    <w:p w14:paraId="000000A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000000B0">
      <w:pPr>
        <w:pStyle w:val="style0"/>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10. Распорядок соревнований</w:t>
      </w:r>
    </w:p>
    <w:p w14:paraId="000000B1">
      <w:pPr>
        <w:pStyle w:val="style0"/>
        <w:ind w:firstLine="709"/>
        <w:rPr>
          <w:rFonts w:ascii="Times New Roman" w:cs="Times New Roman" w:eastAsia="Times New Roman" w:hAnsi="Times New Roman"/>
          <w:sz w:val="24"/>
          <w:szCs w:val="24"/>
        </w:rPr>
      </w:pPr>
      <w:r>
        <w:rPr/>
        <w:t> </w:t>
      </w:r>
      <w:r>
        <w:rPr>
          <w:rFonts w:ascii="Times New Roman" w:cs="Times New Roman" w:eastAsia="Times New Roman" w:hAnsi="Times New Roman"/>
          <w:b/>
          <w:bCs/>
          <w:sz w:val="24"/>
          <w:szCs w:val="24"/>
        </w:rPr>
        <w:t>27 июня 2026 года</w:t>
      </w:r>
    </w:p>
    <w:p w14:paraId="000000B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06:00 — Начало регистрации</w:t>
      </w:r>
    </w:p>
    <w:p w14:paraId="000000B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07:00 — Окончание регистрации</w:t>
      </w:r>
    </w:p>
    <w:p w14:paraId="000000B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07:30 — Совещание представителей (капитанов) команд, жеребьевка</w:t>
      </w:r>
    </w:p>
    <w:p w14:paraId="000000B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08:00 — Построение, торжественное открытие соревнований</w:t>
      </w:r>
    </w:p>
    <w:p w14:paraId="000000B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08:55 — Сигнал «Приготовиться»</w:t>
      </w:r>
    </w:p>
    <w:p w14:paraId="000000B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09:00 — Старт 1-го тура соревнований </w:t>
      </w:r>
    </w:p>
    <w:p w14:paraId="000000B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14:55 — Сигнал «До финиша осталось 5 минут»</w:t>
      </w:r>
    </w:p>
    <w:p w14:paraId="000000B9">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15:00 — Сигнал «Финиш» 1-го тура</w:t>
      </w:r>
    </w:p>
    <w:p w14:paraId="000000B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15:00–16:00 — Взвешивание</w:t>
      </w:r>
    </w:p>
    <w:p w14:paraId="000000BB">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16:00–16:30 — Подсчет результатов 1-го тура</w:t>
      </w:r>
    </w:p>
    <w:p w14:paraId="000000BC">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16:30 — Объявление результатов 1-го тура</w:t>
      </w:r>
    </w:p>
    <w:p w14:paraId="000000BD">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17:00 — Судейский семинар</w:t>
      </w:r>
    </w:p>
    <w:p w14:paraId="000000BE">
      <w:pPr>
        <w:pStyle w:val="style0"/>
        <w:rPr/>
      </w:pPr>
      <w:r>
        <w:rPr/>
        <w:t> </w:t>
      </w:r>
    </w:p>
    <w:p w14:paraId="000000BF">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28 июня 2026 года</w:t>
      </w:r>
    </w:p>
    <w:p w14:paraId="000000C0">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06:30 — Сигнал «Сбор участников соревнований»: Построение и выдвижение к месту старта</w:t>
      </w:r>
    </w:p>
    <w:p w14:paraId="000000C1">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06:55 — Сигнал «Приготовиться»</w:t>
      </w:r>
    </w:p>
    <w:p w14:paraId="000000C2">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07:00 — Старт 2-го тура </w:t>
      </w:r>
    </w:p>
    <w:p w14:paraId="000000C3">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12:55 — Сигнал «До финиша осталось 5 минут»</w:t>
      </w:r>
    </w:p>
    <w:p w14:paraId="000000C4">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13:00 — Сигнал «Финиш» 2-го тура</w:t>
      </w:r>
    </w:p>
    <w:p w14:paraId="000000C5">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13:00–14:00 — Взвешивание</w:t>
      </w:r>
    </w:p>
    <w:p w14:paraId="000000C6">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14:00–15:00 — Подведение итогов соревнований</w:t>
      </w:r>
    </w:p>
    <w:p w14:paraId="000000C7">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15:30 — Награждение победителей, закрытие соревнований.</w:t>
      </w:r>
    </w:p>
    <w:p w14:paraId="000000C8">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p w14:paraId="000000C9">
      <w:pPr>
        <w:pStyle w:val="style0"/>
        <w:spacing w:before="360" w:after="12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Примечание</w:t>
      </w:r>
    </w:p>
    <w:p w14:paraId="000000CA">
      <w:pPr>
        <w:pStyle w:val="style0"/>
        <w:tabs>
          <w:tab w:val="left" w:leader="none" w:pos="993"/>
        </w:tabs>
        <w:spacing w:after="120"/>
        <w:ind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случае неблагоприятных погодных условий, а также иных условий, влияющих на проведение соревнований, организаторы соревнований вправе изменить место, время и регламент соревнований.</w:t>
      </w:r>
    </w:p>
    <w:sectPr>
      <w:pgSz w:w="11906" w:h="16838" w:orient="portrait"/>
      <w:pgMar w:top="1134" w:right="850" w:bottom="1134" w:left="1701" w:header="708" w:footer="708"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embedTrueType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rPr>
    </w:rPrDefault>
    <w:pPrDefault>
      <w:pPr>
        <w:spacing w:after="200" w:lineRule="auto" w:line="276"/>
      </w:pPr>
    </w:pPrDefault>
  </w:docDefaults>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customStyle="1" w:styleId="style4098">
    <w:name w:val="normal"/>
    <w:next w:val="style4098"/>
    <w:pPr/>
  </w:style>
  <w:style w:type="paragraph" w:styleId="style1">
    <w:name w:val="heading 1"/>
    <w:basedOn w:val="style4098"/>
    <w:next w:val="style4098"/>
    <w:pPr>
      <w:keepNext/>
      <w:keepLines/>
      <w:pageBreakBefore w:val="false"/>
      <w:spacing w:before="480" w:after="120"/>
    </w:pPr>
    <w:rPr>
      <w:b/>
      <w:bCs/>
      <w:sz w:val="48"/>
      <w:szCs w:val="48"/>
    </w:rPr>
  </w:style>
  <w:style w:type="paragraph" w:styleId="style2">
    <w:name w:val="heading 2"/>
    <w:basedOn w:val="style4098"/>
    <w:next w:val="style4098"/>
    <w:pPr>
      <w:keepNext/>
      <w:keepLines/>
      <w:pageBreakBefore w:val="false"/>
      <w:spacing w:before="360" w:after="80"/>
    </w:pPr>
    <w:rPr>
      <w:b/>
      <w:bCs/>
      <w:sz w:val="36"/>
      <w:szCs w:val="36"/>
    </w:rPr>
  </w:style>
  <w:style w:type="paragraph" w:styleId="style3">
    <w:name w:val="heading 3"/>
    <w:basedOn w:val="style4098"/>
    <w:next w:val="style4098"/>
    <w:pPr>
      <w:keepNext/>
      <w:keepLines/>
      <w:pageBreakBefore w:val="false"/>
      <w:spacing w:before="280" w:after="80"/>
    </w:pPr>
    <w:rPr>
      <w:b/>
      <w:bCs/>
      <w:sz w:val="28"/>
      <w:szCs w:val="28"/>
    </w:rPr>
  </w:style>
  <w:style w:type="paragraph" w:styleId="style4">
    <w:name w:val="heading 4"/>
    <w:basedOn w:val="style4098"/>
    <w:next w:val="style4098"/>
    <w:pPr>
      <w:keepNext/>
      <w:keepLines/>
      <w:pageBreakBefore w:val="false"/>
      <w:spacing w:before="240" w:after="40"/>
    </w:pPr>
    <w:rPr>
      <w:b/>
      <w:bCs/>
      <w:sz w:val="24"/>
      <w:szCs w:val="24"/>
    </w:rPr>
  </w:style>
  <w:style w:type="paragraph" w:styleId="style5">
    <w:name w:val="heading 5"/>
    <w:basedOn w:val="style4098"/>
    <w:next w:val="style4098"/>
    <w:pPr>
      <w:keepNext/>
      <w:keepLines/>
      <w:pageBreakBefore w:val="false"/>
      <w:spacing w:before="220" w:after="40"/>
    </w:pPr>
    <w:rPr>
      <w:b/>
      <w:bCs/>
      <w:sz w:val="22"/>
      <w:szCs w:val="22"/>
    </w:rPr>
  </w:style>
  <w:style w:type="paragraph" w:styleId="style6">
    <w:name w:val="heading 6"/>
    <w:basedOn w:val="style4098"/>
    <w:next w:val="style4098"/>
    <w:pPr>
      <w:keepNext/>
      <w:keepLines/>
      <w:pageBreakBefore w:val="false"/>
      <w:spacing w:before="200" w:after="40"/>
    </w:pPr>
    <w:rPr>
      <w:b/>
      <w:bCs/>
      <w:sz w:val="20"/>
      <w:szCs w:val="20"/>
    </w:rPr>
  </w:style>
  <w:style w:type="paragraph" w:styleId="style62">
    <w:name w:val="Title"/>
    <w:basedOn w:val="style4098"/>
    <w:next w:val="style4098"/>
    <w:pPr>
      <w:keepNext/>
      <w:keepLines/>
      <w:pageBreakBefore w:val="false"/>
      <w:spacing w:before="480" w:after="120"/>
    </w:pPr>
    <w:rPr>
      <w:b/>
      <w:bCs/>
      <w:sz w:val="72"/>
      <w:szCs w:val="72"/>
    </w:rPr>
  </w:style>
  <w:style w:type="paragraph" w:styleId="style74">
    <w:name w:val="Subtitle"/>
    <w:basedOn w:val="style4098"/>
    <w:next w:val="style4098"/>
    <w:pPr>
      <w:keepNext/>
      <w:keepLines/>
      <w:pageBreakBefore w:val="false"/>
      <w:spacing w:before="360" w:after="80"/>
    </w:pPr>
    <w:rPr>
      <w:rFonts w:ascii="Georgia" w:cs="Georgia" w:eastAsia="Georgia" w:hAnsi="Georgia"/>
      <w:i/>
      <w:iCs/>
      <w:color w:val="666666"/>
      <w:sz w:val="48"/>
      <w:szCs w:val="48"/>
    </w:rPr>
  </w:style>
  <w:style w:type="table" w:customStyle="1" w:styleId="style4099">
    <w:basedOn w:val="style4097"/>
    <w:next w:val="style4099"/>
    <w:pPr/>
    <w:rPr/>
    <w:tblPr>
      <w:tblStyleRowBandSize w:val="1"/>
      <w:tblStyleColBandSize w:val="1"/>
      <w:tblCellMar>
        <w:top w:w="0" w:type="dxa"/>
        <w:left w:w="10" w:type="dxa"/>
        <w:bottom w:w="0" w:type="dxa"/>
        <w:right w:w="10" w:type="dxa"/>
      </w:tblCellMar>
    </w:tblPr>
    <w:tcPr>
      <w:tcBorders/>
    </w:tcPr>
  </w:style>
  <w:style w:type="paragraph" w:default="1" w:styleId="style0">
    <w:name w:val="Normal"/>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theme" Target="theme/theme1.xml"/><Relationship Id="rId5" Type="http://schemas.openxmlformats.org/officeDocument/2006/relationships/image" Target="media/image4.pn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3729</Words>
  <Characters>24585</Characters>
  <Application>WPS Office</Application>
  <Paragraphs>203</Paragraphs>
  <CharactersWithSpaces>28173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2026-06-04T19:31:06Z</dcterms:created>
  <dc:creator>WPS Office</dc:creator>
  <lastModifiedBy>23124RA7EO</lastModifiedBy>
  <dcterms:modified xsi:type="dcterms:W3CDTF">2026-06-04T19:31:06Z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8c833bc182684c23bcf3945ddd4442fa_23</vt:lpwstr>
  </property>
</Properties>
</file>